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FRONTDOOR | Stripe Sessions Research (SS Database Format)</w:t>
      </w:r>
    </w:p>
    <w:p>
      <w:r>
        <w:rPr>
          <w:i/>
        </w:rPr>
        <w:t>Generated: 2026-04-21</w:t>
      </w:r>
    </w:p>
    <w:p>
      <w:r>
        <w:rPr>
          <w:rFonts w:ascii="Courier New" w:hAnsi="Courier New"/>
          <w:sz w:val="18"/>
        </w:rPr>
        <w:t>=======================================</w:t>
      </w:r>
    </w:p>
    <w:p>
      <w:r>
        <w:rPr>
          <w:rFonts w:ascii="Courier New" w:hAnsi="Courier New"/>
          <w:sz w:val="18"/>
        </w:rPr>
        <w:t>DATABASE FIELDS: Frontdoor</w:t>
      </w:r>
    </w:p>
    <w:p>
      <w:r>
        <w:rPr>
          <w:rFonts w:ascii="Courier New" w:hAnsi="Courier New"/>
          <w:sz w:val="18"/>
        </w:rPr>
        <w:t>=======================================</w:t>
      </w:r>
    </w:p>
    <w:p>
      <w:r>
        <w:rPr>
          <w:rFonts w:ascii="Courier New" w:hAnsi="Courier New"/>
          <w:sz w:val="18"/>
        </w:rPr>
      </w:r>
    </w:p>
    <w:p>
      <w:r>
        <w:rPr>
          <w:rFonts w:ascii="Courier New" w:hAnsi="Courier New"/>
          <w:sz w:val="18"/>
        </w:rPr>
        <w:t>Logo: https://asset.brandfetch.io/idPkL21xgN/idK5KXIKR5.svg</w:t>
      </w:r>
    </w:p>
    <w:p>
      <w:r>
        <w:rPr>
          <w:rFonts w:ascii="Courier New" w:hAnsi="Courier New"/>
          <w:sz w:val="18"/>
        </w:rPr>
        <w:t>Nombre merchant: Frontdoor</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Past-Due Premium Invoices</w:t>
      </w:r>
    </w:p>
    <w:p>
      <w:r>
        <w:rPr>
          <w:rFonts w:ascii="Courier New" w:hAnsi="Courier New"/>
          <w:sz w:val="18"/>
        </w:rPr>
        <w:t>Tittle_Pain Point_2: Multi-Brand Billing Sprawl</w:t>
      </w:r>
    </w:p>
    <w:p>
      <w:r>
        <w:rPr>
          <w:rFonts w:ascii="Courier New" w:hAnsi="Courier New"/>
          <w:sz w:val="18"/>
        </w:rPr>
        <w:t>Tittle_Pain Point_3: Contractor Payout Friction</w:t>
      </w:r>
    </w:p>
    <w:p>
      <w:r>
        <w:rPr>
          <w:rFonts w:ascii="Courier New" w:hAnsi="Courier New"/>
          <w:sz w:val="18"/>
        </w:rPr>
        <w:t>Tittle_Pain Point_4: Renewal Card Decay</w:t>
      </w:r>
    </w:p>
    <w:p>
      <w:r>
        <w:rPr>
          <w:rFonts w:ascii="Courier New" w:hAnsi="Courier New"/>
          <w:sz w:val="18"/>
        </w:rPr>
        <w:t>Tittle_Pain Point_5: No Local Payment Methods</w:t>
      </w:r>
    </w:p>
    <w:p>
      <w:r>
        <w:rPr>
          <w:rFonts w:ascii="Courier New" w:hAnsi="Courier New"/>
          <w:sz w:val="18"/>
        </w:rPr>
      </w:r>
    </w:p>
    <w:p>
      <w:r>
        <w:rPr>
          <w:rFonts w:ascii="Courier New" w:hAnsi="Courier New"/>
          <w:sz w:val="18"/>
        </w:rPr>
        <w:t>Desc_Pain Point_1: Frontdoor engaged Stripe Professional Services specifically to reduce past-due premium invoices, achieving only 1.84% improvement. With $2.1B revenue and 2.1M active warranties, past-due invoices represent significant recurring revenue leakage that a single PSP optimization engagement cannot fully solve.</w:t>
      </w:r>
    </w:p>
    <w:p>
      <w:r>
        <w:rPr>
          <w:rFonts w:ascii="Courier New" w:hAnsi="Courier New"/>
          <w:sz w:val="18"/>
        </w:rPr>
        <w:t>Desc_Pain Point_2: Frontdoor operates 6 brands (AHS, HSA, OneGuard, Landmark, 2-10 HBW, ProConnect) after the $585M acquisition of 2-10 HBW in December 2024. Each brand runs its own billing flows. No orchestration layer unifies payment processing across the multi-brand portfolio for consolidated reporting and routing.</w:t>
      </w:r>
    </w:p>
    <w:p>
      <w:r>
        <w:rPr>
          <w:rFonts w:ascii="Courier New" w:hAnsi="Courier New"/>
          <w:sz w:val="18"/>
        </w:rPr>
        <w:t>Desc_Pain Point_3: 17,000 independent contractor firms handle 3.8M annual service requests. Contractor payments flow through direct deposit and other rails. Managing payouts to thousands of contractor firms alongside 2.1M consumer premium collections creates dual-sided payment complexity without unified orchestration.</w:t>
      </w:r>
    </w:p>
    <w:p>
      <w:r>
        <w:rPr>
          <w:rFonts w:ascii="Courier New" w:hAnsi="Courier New"/>
          <w:sz w:val="18"/>
        </w:rPr>
        <w:t>Desc_Pain Point_4: 76% of revenue comes from existing customer renewals. Annual and monthly plans auto-renew to saved cards. Card expiration, reissuance, and account updates cause silent payment failures. BBB and consumer complaints confirm customers charged after cancellation and billing disputes requiring bank intervention.</w:t>
      </w:r>
    </w:p>
    <w:p>
      <w:r>
        <w:rPr>
          <w:rFonts w:ascii="Courier New" w:hAnsi="Courier New"/>
          <w:sz w:val="18"/>
        </w:rPr>
        <w:t>Desc_Pain Point_5: Frontdoor accepts credit/debit cards, PayPal, and checking account. No Apple Pay, Google Pay, or digital wallets natively in the AHS app despite 2M+ members. ProConnect (on-demand home services in 35 markets) lacks modern checkout options that consumers expect for on-demand service payments.</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(primary card processor, confirmed via Stripe case study)</w:t>
      </w:r>
    </w:p>
    <w:p>
      <w:r>
        <w:rPr>
          <w:rFonts w:ascii="Courier New" w:hAnsi="Courier New"/>
          <w:sz w:val="18"/>
        </w:rPr>
        <w:t>PSP_2: PayPal (alternative payment method for premium billing)</w:t>
      </w:r>
    </w:p>
    <w:p>
      <w:r>
        <w:rPr>
          <w:rFonts w:ascii="Courier New" w:hAnsi="Courier New"/>
          <w:sz w:val="18"/>
        </w:rPr>
        <w:t>PSP_3: ACH / Checking Account (direct debit for monthly/annual premiums)</w:t>
      </w:r>
    </w:p>
    <w:p>
      <w:r>
        <w:rPr>
          <w:rFonts w:ascii="Courier New" w:hAnsi="Courier New"/>
          <w:sz w:val="18"/>
        </w:rPr>
        <w:t>PSP_4: Direct Deposit (contractor firm payouts)</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Apple Pay</w:t>
      </w:r>
    </w:p>
    <w:p>
      <w:r>
        <w:rPr>
          <w:rFonts w:ascii="Courier New" w:hAnsi="Courier New"/>
          <w:sz w:val="18"/>
        </w:rPr>
        <w:t>Local_M_2: Google Pay</w:t>
      </w:r>
    </w:p>
    <w:p>
      <w:r>
        <w:rPr>
          <w:rFonts w:ascii="Courier New" w:hAnsi="Courier New"/>
          <w:sz w:val="18"/>
        </w:rPr>
        <w:t>Local_M_3: Venmo</w:t>
      </w:r>
    </w:p>
    <w:p>
      <w:r>
        <w:rPr>
          <w:rFonts w:ascii="Courier New" w:hAnsi="Courier New"/>
          <w:sz w:val="18"/>
        </w:rPr>
        <w:t>Local_M_4: Cash App Pay</w:t>
      </w:r>
    </w:p>
    <w:p>
      <w:r>
        <w:rPr>
          <w:rFonts w:ascii="Courier New" w:hAnsi="Courier New"/>
          <w:sz w:val="18"/>
        </w:rPr>
        <w:t>Local_M_5: Affirm / BNPL</w:t>
      </w:r>
    </w:p>
    <w:p>
      <w:r>
        <w:rPr>
          <w:rFonts w:ascii="Courier New" w:hAnsi="Courier New"/>
          <w:sz w:val="18"/>
        </w:rPr>
        <w:t>Local_M_6: Samsung Pay</w:t>
      </w:r>
    </w:p>
    <w:p>
      <w:r>
        <w:rPr>
          <w:rFonts w:ascii="Courier New" w:hAnsi="Courier New"/>
          <w:sz w:val="18"/>
        </w:rPr>
        <w:t>Local_M_7: Zelle</w:t>
      </w:r>
    </w:p>
    <w:p>
      <w:r>
        <w:rPr>
          <w:rFonts w:ascii="Courier New" w:hAnsi="Courier New"/>
          <w:sz w:val="18"/>
        </w:rPr>
        <w:t>Local_M_8: Amazon Pay</w:t>
      </w:r>
    </w:p>
    <w:p>
      <w:r>
        <w:rPr>
          <w:rFonts w:ascii="Courier New" w:hAnsi="Courier New"/>
          <w:sz w:val="18"/>
        </w:rPr>
        <w:t>Local_M_9: ACH Push (consumer-initiated)</w:t>
      </w:r>
    </w:p>
    <w:p>
      <w:r>
        <w:rPr>
          <w:rFonts w:ascii="Courier New" w:hAnsi="Courier New"/>
          <w:sz w:val="18"/>
        </w:rPr>
        <w:t>Local_M_10: Digital Wallets (Stripe Link)</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Per-transaction routing by card BIN, issuer, and geography. With 2.1M active warranties generating monthly/annual premium renewals, routing each charge to the optimal acquirer delivers 3-10% authorization uplift. Stripe's own advisory achieved only 1.84% improvement; multi-processor routing unlocks the remaining uplift.</w:t>
      </w:r>
    </w:p>
    <w:p>
      <w:r>
        <w:rPr>
          <w:rFonts w:ascii="Courier New" w:hAnsi="Courier New"/>
          <w:sz w:val="18"/>
        </w:rPr>
        <w:t>Desc_Yuno_Cap2: Automatic cascade when a premium renewal card is declined. Instead of generating a past-due invoice and risking policy lapse, Yuno retries through the next best processor in milliseconds. Up to 50% recovery on failed transactions. With 76% of $2.1B revenue from renewals, each recovered charge protects recurring revenue.</w:t>
      </w:r>
    </w:p>
    <w:p>
      <w:r>
        <w:rPr>
          <w:rFonts w:ascii="Courier New" w:hAnsi="Courier New"/>
          <w:sz w:val="18"/>
        </w:rPr>
        <w:t>Desc_Yuno_Cap3: Adds wallets Frontdoor's 2.1M members expect: Apple Pay, Google Pay, Venmo for premium payments. Cash App Pay and Affirm for ProConnect on-demand service fees. One API, 1,000+ methods. Modernizes checkout for a consumer base that manages home services from their phones.</w:t>
      </w:r>
    </w:p>
    <w:p>
      <w:r>
        <w:rPr>
          <w:rFonts w:ascii="Courier New" w:hAnsi="Courier New"/>
          <w:sz w:val="18"/>
        </w:rPr>
        <w:t>Desc_Yuno_Cap4: One dashboard unifying Stripe card processing, PayPal, ACH premium billing, and contractor payouts across 6 brands (AHS, HSA, OneGuard, Landmark, 2-10 HBW, ProConnect). Real-time monitoring of renewal success rates per brand, post-acquisition billing consolidation, and NOVA fraud detection (75% reduction) protecting 3.8M annual transactions.</w:t>
      </w:r>
    </w:p>
    <w:p>
      <w:r>
        <w:t>__________________________________________________</w:t>
      </w:r>
    </w:p>
    <w:p>
      <w:pPr>
        <w:pStyle w:val="Heading2"/>
      </w:pPr>
      <w:r>
        <w:t>RESEARCH BACKING | Key Facts for the Meeting</w:t>
      </w:r>
    </w:p>
    <w:p>
      <w:r>
        <w:rPr>
          <w:b/>
        </w:rPr>
        <w:t>Frontdoor at a glance:</w:t>
      </w:r>
    </w:p>
    <w:p>
      <w:pPr>
        <w:pStyle w:val="ListBullet"/>
      </w:pPr>
      <w:r>
        <w:t>Founded: 2018 (spun off from ServiceMaster)</w:t>
      </w:r>
    </w:p>
    <w:p>
      <w:pPr>
        <w:pStyle w:val="ListBullet"/>
      </w:pPr>
      <w:r>
        <w:t>HQ: Memphis, Tennessee</w:t>
      </w:r>
    </w:p>
    <w:p>
      <w:pPr>
        <w:pStyle w:val="ListBullet"/>
      </w:pPr>
      <w:r>
        <w:t>Chairman &amp; CEO: Bill Cobb</w:t>
      </w:r>
    </w:p>
    <w:p>
      <w:pPr>
        <w:pStyle w:val="ListBullet"/>
      </w:pPr>
      <w:r>
        <w:t>Public: NASDAQ: FTDR</w:t>
      </w:r>
    </w:p>
    <w:p>
      <w:pPr>
        <w:pStyle w:val="ListBullet"/>
      </w:pPr>
      <w:r>
        <w:t>Revenue: $2.099B (FY2025), up 14% YoY (record)</w:t>
      </w:r>
    </w:p>
    <w:p>
      <w:pPr>
        <w:pStyle w:val="ListBullet"/>
      </w:pPr>
      <w:r>
        <w:t>Q4 2025: $433M revenue, up 13% YoY</w:t>
      </w:r>
    </w:p>
    <w:p>
      <w:pPr>
        <w:pStyle w:val="ListBullet"/>
      </w:pPr>
      <w:r>
        <w:t>Net Income: $255M (FY2025)</w:t>
      </w:r>
    </w:p>
    <w:p>
      <w:pPr>
        <w:pStyle w:val="ListBullet"/>
      </w:pPr>
      <w:r>
        <w:t>Adjusted EBITDA: $553M (FY2025), up 25% YoY</w:t>
      </w:r>
    </w:p>
    <w:p>
      <w:pPr>
        <w:pStyle w:val="ListBullet"/>
      </w:pPr>
      <w:r>
        <w:t>Free Cash Flow: Up 69% YoY</w:t>
      </w:r>
    </w:p>
    <w:p>
      <w:pPr>
        <w:pStyle w:val="ListBullet"/>
      </w:pPr>
      <w:r>
        <w:t>EPS: $0.23 (Q4 2025), beat forecast of $0.13</w:t>
      </w:r>
    </w:p>
    <w:p>
      <w:pPr>
        <w:pStyle w:val="ListBullet"/>
      </w:pPr>
      <w:r>
        <w:t>Active Warranties: ~2.1M</w:t>
      </w:r>
    </w:p>
    <w:p>
      <w:pPr>
        <w:pStyle w:val="ListBullet"/>
      </w:pPr>
      <w:r>
        <w:t>Builder Partners: ~20,000</w:t>
      </w:r>
    </w:p>
    <w:p>
      <w:pPr>
        <w:pStyle w:val="ListBullet"/>
      </w:pPr>
      <w:r>
        <w:t>Contractor Network: ~17,000 independent firms (including 4,200 preferred contractors)</w:t>
      </w:r>
    </w:p>
    <w:p>
      <w:pPr>
        <w:pStyle w:val="ListBullet"/>
      </w:pPr>
      <w:r>
        <w:t>Service Requests: ~3.8M annually</w:t>
      </w:r>
    </w:p>
    <w:p>
      <w:pPr>
        <w:pStyle w:val="ListBullet"/>
      </w:pPr>
      <w:r>
        <w:t>Employees: ~1,000-1,700</w:t>
      </w:r>
    </w:p>
    <w:p>
      <w:pPr>
        <w:pStyle w:val="ListBullet"/>
      </w:pPr>
      <w:r>
        <w:t>Revenue Mix: 76% from existing customer renewals</w:t>
      </w:r>
    </w:p>
    <w:p>
      <w:pPr>
        <w:pStyle w:val="ListBullet"/>
      </w:pPr>
      <w:r>
        <w:t>Brands: American Home Shield (AHS), HSA, OneGuard, Landmark, 2-10 HBW, ProConnect, Streem</w:t>
      </w:r>
    </w:p>
    <w:p>
      <w:pPr>
        <w:pStyle w:val="ListBullet"/>
      </w:pPr>
      <w:r>
        <w:t>Key Acquisitions: Streem (AR/AI diagnostics, Dec 2019), 2-10 Home Buyers Warranty ($585M cash, Dec 2024)</w:t>
      </w:r>
    </w:p>
    <w:p>
      <w:pPr>
        <w:pStyle w:val="ListBullet"/>
      </w:pPr>
      <w:r>
        <w:t>Credit Facility: $1.47B (December 2024)</w:t>
      </w:r>
    </w:p>
    <w:p>
      <w:pPr>
        <w:pStyle w:val="ListBullet"/>
      </w:pPr>
      <w:r>
        <w:t>Partnership: Moen (Flo Smart Water Monitor, exclusive agreement, 21 states)</w:t>
      </w:r>
    </w:p>
    <w:p>
      <w:pPr>
        <w:pStyle w:val="ListBullet"/>
      </w:pPr>
      <w:r>
        <w:t>Technology: SkySlope partnership (AHS integration, April 2026)</w:t>
      </w:r>
    </w:p>
    <w:p>
      <w:pPr>
        <w:pStyle w:val="ListBullet"/>
      </w:pPr>
      <w:r>
        <w:t>ProConnect: On-demand home services expanded to 35 markets</w:t>
      </w:r>
    </w:p>
    <w:p>
      <w:r>
        <w:rPr>
          <w:b/>
        </w:rPr>
        <w:t>Confirmed Payment Stack:</w:t>
      </w:r>
    </w:p>
    <w:p>
      <w:pPr>
        <w:pStyle w:val="ListBullet"/>
      </w:pPr>
      <w:r>
        <w:t>Stripe: Primary card processor. Confirmed via Stripe Professional Services case study. Frontdoor engaged Stripe for Revenue Optimization Advisory to improve authorization rates on past-due premium invoices</w:t>
      </w:r>
    </w:p>
    <w:p>
      <w:pPr>
        <w:pStyle w:val="ListBullet"/>
      </w:pPr>
      <w:r>
        <w:t>Stripe Optimizations: Correctly labeling off-session payments, customer notification via webhooks and card fingerprints, Stripe Radar rule adjustments. Result: 1.84% reduction in past-due invoices</w:t>
      </w:r>
    </w:p>
    <w:p>
      <w:pPr>
        <w:pStyle w:val="ListBullet"/>
      </w:pPr>
      <w:r>
        <w:t>PayPal: Alternative payment method for premium billing</w:t>
      </w:r>
    </w:p>
    <w:p>
      <w:pPr>
        <w:pStyle w:val="ListBullet"/>
      </w:pPr>
      <w:r>
        <w:t>ACH/Checking Account: Direct debit for monthly/annual premium payments</w:t>
      </w:r>
    </w:p>
    <w:p>
      <w:pPr>
        <w:pStyle w:val="ListBullet"/>
      </w:pPr>
      <w:r>
        <w:t>Credit/Debit Cards: Visa, MC, Amex for premium and service fee payments</w:t>
      </w:r>
    </w:p>
    <w:p>
      <w:pPr>
        <w:pStyle w:val="ListBullet"/>
      </w:pPr>
      <w:r>
        <w:t>doxo: Third-party bill payment platform (Apple Pay available through doxo, not natively)</w:t>
      </w:r>
    </w:p>
    <w:p>
      <w:pPr>
        <w:pStyle w:val="ListBullet"/>
      </w:pPr>
      <w:r>
        <w:t>Direct Deposit: Contractor payout method</w:t>
      </w:r>
    </w:p>
    <w:p>
      <w:pPr>
        <w:pStyle w:val="ListBullet"/>
      </w:pPr>
      <w:r>
        <w:t>No payment orchestrator detected</w:t>
      </w:r>
    </w:p>
    <w:p>
      <w:pPr>
        <w:pStyle w:val="ListBullet"/>
      </w:pPr>
      <w:r>
        <w:t>No Apple Pay or Google Pay native integration</w:t>
      </w:r>
    </w:p>
    <w:p>
      <w:pPr>
        <w:pStyle w:val="ListBullet"/>
      </w:pPr>
      <w:r>
        <w:t>No multi-processor failover beyond Stripe</w:t>
      </w:r>
    </w:p>
    <w:p>
      <w:r>
        <w:rPr>
          <w:b/>
        </w:rPr>
        <w:t>Payment Method Gaps (Consumer Evidence):</w:t>
      </w:r>
    </w:p>
    <w:p>
      <w:pPr>
        <w:pStyle w:val="ListBullet"/>
      </w:pPr>
      <w:r>
        <w:t>Stripe case study confirms Frontdoor needed help with authorization rates on premium invoices</w:t>
      </w:r>
    </w:p>
    <w:p>
      <w:pPr>
        <w:pStyle w:val="ListBullet"/>
      </w:pPr>
      <w:r>
        <w:t>BBB complaints: Customers charged after cancellation, unable to stop auto-renewals</w:t>
      </w:r>
    </w:p>
    <w:p>
      <w:pPr>
        <w:pStyle w:val="ListBullet"/>
      </w:pPr>
      <w:r>
        <w:t>PissedConsumer: 4.8K reviews, 48% cite customer service issues</w:t>
      </w:r>
    </w:p>
    <w:p>
      <w:pPr>
        <w:pStyle w:val="ListBullet"/>
      </w:pPr>
      <w:r>
        <w:t>Medium article: "The American Home Shield &amp; Frontdoor Inc. Scam" details billing disputes</w:t>
      </w:r>
    </w:p>
    <w:p>
      <w:pPr>
        <w:pStyle w:val="ListBullet"/>
      </w:pPr>
      <w:r>
        <w:t>Auto-renewal converts month-to-month to annual contracts without clear notice</w:t>
      </w:r>
    </w:p>
    <w:p>
      <w:pPr>
        <w:pStyle w:val="ListBullet"/>
      </w:pPr>
      <w:r>
        <w:t>"Once automatic withdrawal information is provided, it cannot be removed"</w:t>
      </w:r>
    </w:p>
    <w:p>
      <w:pPr>
        <w:pStyle w:val="ListBullet"/>
      </w:pPr>
      <w:r>
        <w:t>Service fee ($100+) collected per service request, in addition to monthly/annual premium</w:t>
      </w:r>
    </w:p>
    <w:p>
      <w:pPr>
        <w:pStyle w:val="ListBullet"/>
      </w:pPr>
      <w:r>
        <w:t>No native Apple Pay or Google Pay in AHS app despite 2M+ mobile-first members</w:t>
      </w:r>
    </w:p>
    <w:p>
      <w:r>
        <w:rPr>
          <w:b/>
        </w:rPr>
        <w:t>Top Business Context:</w:t>
      </w:r>
    </w:p>
    <w:p>
      <w:r>
        <w:t>SEGMENT 1: Home Warranty Renewals (76% of revenue)</w:t>
      </w:r>
    </w:p>
    <w:p>
      <w:r>
        <w:t>Current: Stripe card processing + ACH direct debit + PayPal</w:t>
      </w:r>
    </w:p>
    <w:p>
      <w:r>
        <w:t>Gap: Card decay, expired cards, and insufficient-funds failures create past-due invoices</w:t>
      </w:r>
    </w:p>
    <w:p>
      <w:r>
        <w:t>Opportunity: Multi-processor failover + intelligent retry + wallet payments (Apple/Google Pay) reduce involuntary churn</w:t>
      </w:r>
    </w:p>
    <w:p>
      <w:r>
        <w:t>SEGMENT 2: New Customer Acquisition</w:t>
      </w:r>
    </w:p>
    <w:p>
      <w:r>
        <w:t>Current: Online checkout and phone enrollment</w:t>
      </w:r>
    </w:p>
    <w:p>
      <w:r>
        <w:t>Gap: Limited payment options may reduce conversion at point of sale</w:t>
      </w:r>
    </w:p>
    <w:p>
      <w:r>
        <w:t>Opportunity: Modern checkout with wallets and BNPL options for annual plan commitments ($400-$700+ annually)</w:t>
      </w:r>
    </w:p>
    <w:p>
      <w:r>
        <w:t>SEGMENT 3: Service Fee Collection ($100+ per request)</w:t>
      </w:r>
    </w:p>
    <w:p>
      <w:r>
        <w:t>Current: Card on file charged at service request</w:t>
      </w:r>
    </w:p>
    <w:p>
      <w:r>
        <w:t>Gap: Same card decay issues as premiums</w:t>
      </w:r>
    </w:p>
    <w:p>
      <w:r>
        <w:t>Opportunity: 3.8M annual service requests. Wallet payments and multi-method checkout reduce friction</w:t>
      </w:r>
    </w:p>
    <w:p>
      <w:r>
        <w:t>SEGMENT 4: ProConnect On-Demand (35 markets, growing)</w:t>
      </w:r>
    </w:p>
    <w:p>
      <w:r>
        <w:t>Current: On-demand home repair marketplace</w:t>
      </w:r>
    </w:p>
    <w:p>
      <w:r>
        <w:t>Gap: Consumer expectations for modern checkout (Apple Pay, BNPL) in on-demand services</w:t>
      </w:r>
    </w:p>
    <w:p>
      <w:r>
        <w:t>Opportunity: ProConnect competes with Thumbtack, Angi. Modern payment UX is table stakes</w:t>
      </w:r>
    </w:p>
    <w:p>
      <w:r>
        <w:t>SEGMENT 5: Contractor Payouts (17,000 firms)</w:t>
      </w:r>
    </w:p>
    <w:p>
      <w:r>
        <w:t>Current: Direct deposit</w:t>
      </w:r>
    </w:p>
    <w:p>
      <w:r>
        <w:t>Gap: No unified visibility across consumer collections and contractor disbursements</w:t>
      </w:r>
    </w:p>
    <w:p>
      <w:r>
        <w:t>Opportunity: Orchestration layer connects both sides of the marketplace payment flow</w:t>
      </w:r>
    </w:p>
    <w:p>
      <w:r>
        <w:rPr>
          <w:b/>
        </w:rPr>
        <w:t>Key meeting angles:</w:t>
      </w:r>
    </w:p>
    <w:p>
      <w:r>
        <w:t xml:space="preserve">1. </w:t>
      </w:r>
      <w:r>
        <w:rPr>
          <w:b/>
        </w:rPr>
        <w:t>$2.1B revenue, Stripe-confirmed</w:t>
      </w:r>
      <w:r>
        <w:t xml:space="preserve"> | Stripe is the primary PSP. Frontdoor already engaged Stripe Professional Services for auth optimization but achieved only 1.84% improvement. Multi-processor routing unlocks additional uplift</w:t>
      </w:r>
    </w:p>
    <w:p>
      <w:r>
        <w:t xml:space="preserve">2. </w:t>
      </w:r>
      <w:r>
        <w:rPr>
          <w:b/>
        </w:rPr>
        <w:t>76% renewal revenue at risk</w:t>
      </w:r>
      <w:r>
        <w:t xml:space="preserve"> | Three-quarters of revenue comes from auto-renewing warranties. Card decay, expiration, and failed charges create past-due invoices. Intelligent retry and failover protect recurring revenue at scale</w:t>
      </w:r>
    </w:p>
    <w:p>
      <w:r>
        <w:t xml:space="preserve">3. </w:t>
      </w:r>
      <w:r>
        <w:rPr>
          <w:b/>
        </w:rPr>
        <w:t>Post-acquisition billing consolidation</w:t>
      </w:r>
      <w:r>
        <w:t xml:space="preserve"> | $585M acquisition of 2-10 HBW (Dec 2024) added a 5th warranty brand. No orchestration layer to unify billing across AHS, HSA, OneGuard, Landmark, and 2-10 HBW</w:t>
      </w:r>
    </w:p>
    <w:p>
      <w:r>
        <w:t xml:space="preserve">4. </w:t>
      </w:r>
      <w:r>
        <w:rPr>
          <w:b/>
        </w:rPr>
        <w:t>2.1M members, no Apple Pay</w:t>
      </w:r>
      <w:r>
        <w:t xml:space="preserve"> | Mobile-first home warranty members manage everything from the AHS app. No Apple Pay, Google Pay, or wallet payments native to the app. Consumer expectations for modern checkout are unmet</w:t>
      </w:r>
    </w:p>
    <w:p>
      <w:r>
        <w:t xml:space="preserve">5. </w:t>
      </w:r>
      <w:r>
        <w:rPr>
          <w:b/>
        </w:rPr>
        <w:t>3.8M service requests annually</w:t>
      </w:r>
      <w:r>
        <w:t xml:space="preserve"> | Each request triggers a $100+ service fee charge to the card on file. Failed service fee charges delay contractor dispatch and damage member satisfaction</w:t>
      </w:r>
    </w:p>
    <w:p>
      <w:r>
        <w:t xml:space="preserve">6. </w:t>
      </w:r>
      <w:r>
        <w:rPr>
          <w:b/>
        </w:rPr>
        <w:t>ProConnect marketplace expansion</w:t>
      </w:r>
      <w:r>
        <w:t xml:space="preserve"> | On-demand home services in 35 markets competing with Thumbtack and Angi. Modern payment experience (wallets, BNPL) is table stakes for on-demand marketplaces</w:t>
      </w:r>
    </w:p>
    <w:p>
      <w:r>
        <w:t xml:space="preserve">7. </w:t>
      </w:r>
      <w:r>
        <w:rPr>
          <w:b/>
        </w:rPr>
        <w:t>Contractor payout complexity</w:t>
      </w:r>
      <w:r>
        <w:t xml:space="preserve"> | 17,000 firms receiving payouts for 3.8M service requests. Unified orchestration connects consumer premium/fee collection with contractor disbursement</w:t>
      </w:r>
    </w:p>
    <w:p>
      <w:r>
        <w:rPr>
          <w:b/>
        </w:rPr>
        <w:t>Sources:</w:t>
      </w:r>
    </w:p>
    <w:p>
      <w:pPr>
        <w:pStyle w:val="ListBullet"/>
      </w:pPr>
      <w:r>
        <w:t>[Stripe: Frontdoor Professional Services Case Study](https://stripe.com/customers/frontdoor-professional-services)</w:t>
      </w:r>
    </w:p>
    <w:p>
      <w:pPr>
        <w:pStyle w:val="ListBullet"/>
      </w:pPr>
      <w:r>
        <w:t>[Frontdoor: Record Full-Year 2025 Financial Results](https://www.businesswire.com/news/home/20260226042868/en/Frontdoor-Announces-Record-Full-Year-2025-Financial-Results)</w:t>
      </w:r>
    </w:p>
    <w:p>
      <w:pPr>
        <w:pStyle w:val="ListBullet"/>
      </w:pPr>
      <w:r>
        <w:t>[Frontdoor: 10-K Annual Report 2025](https://www.stocktitan.net/sec-filings/FTDR/10-k-frontdoor-inc-files-annual-report-3f9879ae43b7.html)</w:t>
      </w:r>
    </w:p>
    <w:p>
      <w:pPr>
        <w:pStyle w:val="ListBullet"/>
      </w:pPr>
      <w:r>
        <w:t>[Frontdoor: 2-10 HBW Acquisition Completion](https://www.businesswire.com/news/home/20241219129865/en/Frontdoor-Inc.-Completes-Acquisition-of-2-10-Home-Buyers-Warranty)</w:t>
      </w:r>
    </w:p>
    <w:p>
      <w:pPr>
        <w:pStyle w:val="ListBullet"/>
      </w:pPr>
      <w:r>
        <w:t>[Frontdoor: ProConnect Expansion to 35 Markets](https://www.nasdaq.com/press-release/frontdoor-expands-on-demand-home-services-to-35-markets-with-american-home-shield)</w:t>
      </w:r>
    </w:p>
    <w:p>
      <w:pPr>
        <w:pStyle w:val="ListBullet"/>
      </w:pPr>
      <w:r>
        <w:t>[Frontdoor: Streem Acquisition](https://www.businesswire.com/news/home/20191205005459/en/Frontdoor-Acquires-Streem-Leader-Advanced-Technology-Transform)</w:t>
      </w:r>
    </w:p>
    <w:p>
      <w:pPr>
        <w:pStyle w:val="ListBullet"/>
      </w:pPr>
      <w:r>
        <w:t>[Frontdoor: Moen Partnership](https://www.businesswire.com/news/home/20240625770671/en/Frontdoor-Inc.-Signs-Exclusive-Agreement-With-Moen)</w:t>
      </w:r>
    </w:p>
    <w:p>
      <w:pPr>
        <w:pStyle w:val="ListBullet"/>
      </w:pPr>
      <w:r>
        <w:t>[AHS: SkySlope Technology Partnership](https://www.rismedia.com/2026/04/16/ahs-expandstech-partnership-skyslope/)</w:t>
      </w:r>
    </w:p>
    <w:p>
      <w:pPr>
        <w:pStyle w:val="ListBullet"/>
      </w:pPr>
      <w:r>
        <w:t>[AHS: FAQs](https://www.ahs.com/faqs/)</w:t>
      </w:r>
    </w:p>
    <w:p>
      <w:pPr>
        <w:pStyle w:val="ListBullet"/>
      </w:pPr>
      <w:r>
        <w:t>[AHS: Supplier Support](https://www.ahs.com/suppliers/)</w:t>
      </w:r>
    </w:p>
    <w:p>
      <w:pPr>
        <w:pStyle w:val="ListBullet"/>
      </w:pPr>
      <w:r>
        <w:t>[MacroTrends: Frontdoor Revenue](https://www.macrotrends.net/stocks/charts/FTDR/frontdoor/revenue)</w:t>
      </w:r>
    </w:p>
    <w:p>
      <w:pPr>
        <w:pStyle w:val="ListBullet"/>
      </w:pPr>
      <w:r>
        <w:t>[MacroTrends: Frontdoor Employees](https://www.macrotrends.net/stocks/charts/FTDR/frontdoor/number-of-employees)</w:t>
      </w:r>
    </w:p>
    <w:p>
      <w:pPr>
        <w:pStyle w:val="ListBullet"/>
      </w:pPr>
      <w:r>
        <w:t>[Seeking Alpha: Frontdoor Q4 2025 Earnings Transcript](https://seekingalpha.com/article/4875500-frontdoor-inc-ftdr-q4-2025-earnings-call-transcript)</w:t>
      </w:r>
    </w:p>
    <w:p>
      <w:pPr>
        <w:pStyle w:val="ListBullet"/>
      </w:pPr>
      <w:r>
        <w:t>[BBB: American Home Shield Complaints](https://www.bbb.org/us/tn/memphis/profile/home-warranty-plans/american-home-shield-0543-22001027/complaints)</w:t>
      </w:r>
    </w:p>
    <w:p>
      <w:pPr>
        <w:pStyle w:val="ListBullet"/>
      </w:pPr>
      <w:r>
        <w:t>[PissedConsumer: American Home Shield Reviews](https://american-home-shield.pissedconsumer.com/review.html)</w:t>
      </w:r>
    </w:p>
    <w:p>
      <w:pPr>
        <w:pStyle w:val="ListBullet"/>
      </w:pPr>
      <w:r>
        <w:t>[Brandfetch: Frontdoor Logo](https://brandfetch.com/frontdoor.com)</w:t>
      </w:r>
    </w:p>
    <w:p>
      <w:pPr>
        <w:pStyle w:val="ListBullet"/>
      </w:pPr>
      <w:r>
        <w:t>[Frontdoor: Investor Relations](https://investors.frontdoorhome.com/)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