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ICON PLC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DATABASE FIELDS: ICON plc</w:t>
      </w:r>
    </w:p>
    <w:p>
      <w:r>
        <w:rPr>
          <w:rFonts w:ascii="Courier New" w:hAnsi="Courier New"/>
          <w:sz w:val="20"/>
        </w:rPr>
        <w:t>=======================================</w:t>
      </w:r>
    </w:p>
    <w:p>
      <w:r>
        <w:rPr>
          <w:rFonts w:ascii="Courier New" w:hAnsi="Courier New"/>
          <w:sz w:val="20"/>
        </w:rPr>
        <w:t>Logo: https://cdn.brandfetch.io/iconplc.com/w/512/h/512/logo</w:t>
      </w:r>
    </w:p>
    <w:p>
      <w:r>
        <w:rPr>
          <w:rFonts w:ascii="Courier New" w:hAnsi="Courier New"/>
          <w:sz w:val="20"/>
        </w:rPr>
        <w:t>Nombre merchant: ICON plc</w:t>
      </w:r>
    </w:p>
    <w:p>
      <w:r>
        <w:rPr>
          <w:rFonts w:ascii="Courier New" w:hAnsi="Courier New"/>
          <w:sz w:val="20"/>
        </w:rPr>
        <w:t>SLIDE 1: PAIN POINTS</w:t>
      </w:r>
    </w:p>
    <w:p>
      <w:r>
        <w:rPr>
          <w:rFonts w:ascii="Courier New" w:hAnsi="Courier New"/>
          <w:sz w:val="20"/>
        </w:rPr>
        <w:t>Tittle_Pain Point_1: 53-Country Payout Maze</w:t>
      </w:r>
    </w:p>
    <w:p>
      <w:r>
        <w:rPr>
          <w:rFonts w:ascii="Courier New" w:hAnsi="Courier New"/>
          <w:sz w:val="20"/>
        </w:rPr>
        <w:t>Tittle_Pain Point_2: Investigator Pay Delays</w:t>
      </w:r>
    </w:p>
    <w:p>
      <w:r>
        <w:rPr>
          <w:rFonts w:ascii="Courier New" w:hAnsi="Courier New"/>
          <w:sz w:val="20"/>
        </w:rPr>
        <w:t>Tittle_Pain Point_3: VAT Reclaim Leakage</w:t>
      </w:r>
    </w:p>
    <w:p>
      <w:r>
        <w:rPr>
          <w:rFonts w:ascii="Courier New" w:hAnsi="Courier New"/>
          <w:sz w:val="20"/>
        </w:rPr>
        <w:t>Tittle_Pain Point_4: Multi-Currency Overhead</w:t>
      </w:r>
    </w:p>
    <w:p>
      <w:r>
        <w:rPr>
          <w:rFonts w:ascii="Courier New" w:hAnsi="Courier New"/>
          <w:sz w:val="20"/>
        </w:rPr>
        <w:t>Tittle_Pain Point_5: No Routing Optimization</w:t>
      </w:r>
    </w:p>
    <w:p>
      <w:r>
        <w:rPr>
          <w:rFonts w:ascii="Courier New" w:hAnsi="Courier New"/>
          <w:sz w:val="20"/>
        </w:rPr>
        <w:t>Desc_Pain Point_1: Investigator payments in 53 countries via APECS, 130+ staff. Each country has different rails, regulations, methods. No orchestration to optimize routing.</w:t>
      </w:r>
    </w:p>
    <w:p>
      <w:r>
        <w:rPr>
          <w:rFonts w:ascii="Courier New" w:hAnsi="Courier New"/>
          <w:sz w:val="20"/>
        </w:rPr>
        <w:t>Desc_Pain Point_2: Targets 90%+ payments within 30 days, but 400+ active studies create validation delays. Failed transfers in India, Brazil, Japan need manual rerouting.</w:t>
      </w:r>
    </w:p>
    <w:p>
      <w:r>
        <w:rPr>
          <w:rFonts w:ascii="Courier New" w:hAnsi="Courier New"/>
          <w:sz w:val="20"/>
        </w:rPr>
        <w:t>Desc_Pain Point_3: 800+ regulatory reports/yr for Sunshine/EFPIA. VAT reclaim saves sponsors 20% of payment value but fragmented rails across 53 countries add overhead.</w:t>
      </w:r>
    </w:p>
    <w:p>
      <w:r>
        <w:rPr>
          <w:rFonts w:ascii="Courier New" w:hAnsi="Courier New"/>
          <w:sz w:val="20"/>
        </w:rPr>
        <w:t>Desc_Pain Point_4: $1B+ in payouts over 3 years, 53 countries, dozens of currencies. Each corridor has different fees, settlement times, compliance rules compounding costs.</w:t>
      </w:r>
    </w:p>
    <w:p>
      <w:r>
        <w:rPr>
          <w:rFonts w:ascii="Courier New" w:hAnsi="Courier New"/>
          <w:sz w:val="20"/>
        </w:rPr>
        <w:t>Desc_Pain Point_5: $300M+/yr in investigator payments with no smart routing for lowest-cost rails. 1% routing improvement at this volume = $3M+ in annual savings.</w:t>
      </w:r>
    </w:p>
    <w:p>
      <w:r>
        <w:rPr>
          <w:rFonts w:ascii="Courier New" w:hAnsi="Courier New"/>
          <w:sz w:val="20"/>
        </w:rPr>
        <w:t>SLIDE 1: PSP TOPOLOGY</w:t>
      </w:r>
    </w:p>
    <w:p>
      <w:r>
        <w:rPr>
          <w:rFonts w:ascii="Courier New" w:hAnsi="Courier New"/>
          <w:sz w:val="20"/>
        </w:rPr>
        <w:t>PSP_1: APECS (proprietary platform)</w:t>
      </w:r>
    </w:p>
    <w:p>
      <w:r>
        <w:rPr>
          <w:rFonts w:ascii="Courier New" w:hAnsi="Courier New"/>
          <w:sz w:val="20"/>
        </w:rPr>
        <w:t>PSP_2: Bank wire transfers</w:t>
      </w:r>
    </w:p>
    <w:p>
      <w:r>
        <w:rPr>
          <w:rFonts w:ascii="Courier New" w:hAnsi="Courier New"/>
          <w:sz w:val="20"/>
        </w:rPr>
        <w:t>PSP_3: Stripe (likely for digital/SaaS tools)</w:t>
      </w:r>
    </w:p>
    <w:p>
      <w:r>
        <w:rPr>
          <w:rFonts w:ascii="Courier New" w:hAnsi="Courier New"/>
          <w:sz w:val="20"/>
        </w:rPr>
        <w:t>SLIDE 1: MISSING LOCAL METHODS (BLIND SPOTS)</w:t>
      </w:r>
    </w:p>
    <w:p>
      <w:r>
        <w:rPr>
          <w:rFonts w:ascii="Courier New" w:hAnsi="Courier New"/>
          <w:sz w:val="20"/>
        </w:rPr>
        <w:t>Local_M_1: UPI (India)</w:t>
      </w:r>
    </w:p>
    <w:p>
      <w:r>
        <w:rPr>
          <w:rFonts w:ascii="Courier New" w:hAnsi="Courier New"/>
          <w:sz w:val="20"/>
        </w:rPr>
        <w:t>Local_M_2: PIX (Brazil)</w:t>
      </w:r>
    </w:p>
    <w:p>
      <w:r>
        <w:rPr>
          <w:rFonts w:ascii="Courier New" w:hAnsi="Courier New"/>
          <w:sz w:val="20"/>
        </w:rPr>
        <w:t>Local_M_3: SEPA Instant (Europe)</w:t>
      </w:r>
    </w:p>
    <w:p>
      <w:r>
        <w:rPr>
          <w:rFonts w:ascii="Courier New" w:hAnsi="Courier New"/>
          <w:sz w:val="20"/>
        </w:rPr>
        <w:t>Local_M_4: Konbini (Japan)</w:t>
      </w:r>
    </w:p>
    <w:p>
      <w:r>
        <w:rPr>
          <w:rFonts w:ascii="Courier New" w:hAnsi="Courier New"/>
          <w:sz w:val="20"/>
        </w:rPr>
        <w:t>Local_M_5: PromptPay (Thailand)</w:t>
      </w:r>
    </w:p>
    <w:p>
      <w:r>
        <w:rPr>
          <w:rFonts w:ascii="Courier New" w:hAnsi="Courier New"/>
          <w:sz w:val="20"/>
        </w:rPr>
        <w:t>Local_M_6: BLIK (Poland)</w:t>
      </w:r>
    </w:p>
    <w:p>
      <w:r>
        <w:rPr>
          <w:rFonts w:ascii="Courier New" w:hAnsi="Courier New"/>
          <w:sz w:val="20"/>
        </w:rPr>
        <w:t>Local_M_7: SPEI (Mexico)</w:t>
      </w:r>
    </w:p>
    <w:p>
      <w:r>
        <w:rPr>
          <w:rFonts w:ascii="Courier New" w:hAnsi="Courier New"/>
          <w:sz w:val="20"/>
        </w:rPr>
        <w:t>Local_M_8: PayNow (Singapore)</w:t>
      </w:r>
    </w:p>
    <w:p>
      <w:r>
        <w:rPr>
          <w:rFonts w:ascii="Courier New" w:hAnsi="Courier New"/>
          <w:sz w:val="20"/>
        </w:rPr>
        <w:t>Local_M_9: FPS (Hong Kong)</w:t>
      </w:r>
    </w:p>
    <w:p>
      <w:r>
        <w:rPr>
          <w:rFonts w:ascii="Courier New" w:hAnsi="Courier New"/>
          <w:sz w:val="20"/>
        </w:rPr>
        <w:t>Local_M_10: DuitNow (Malaysia)</w:t>
      </w:r>
    </w:p>
    <w:p>
      <w:r>
        <w:rPr>
          <w:rFonts w:ascii="Courier New" w:hAnsi="Courier New"/>
          <w:sz w:val="20"/>
        </w:rPr>
        <w:t>SLIDE 2: YUNO CAPABILITIES</w:t>
      </w:r>
    </w:p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>
      <w:r>
        <w:rPr>
          <w:rFonts w:ascii="Courier New" w:hAnsi="Courier New"/>
          <w:sz w:val="20"/>
        </w:rPr>
        <w:t>Desc_Yuno_Cap1: Route each investigator payment to the lowest-cost, fastest-settling rail for that country and currency. With $300M+ annually across 53 countries, optimizing routing by 3-5% on bank fees alone could save ICON $9-15M per year while accelerating settlement times for research sites.</w:t>
      </w:r>
    </w:p>
    <w:p>
      <w:r>
        <w:rPr>
          <w:rFonts w:ascii="Courier New" w:hAnsi="Courier New"/>
          <w:sz w:val="20"/>
        </w:rPr>
        <w:t>Desc_Yuno_Cap2: When a bank transfer fails in India, Brazil, or Japan, Yuno automatically retries through alternative local rails in milliseconds. Up to 50% recovery on failed payouts protects ICON's 90%+ on-time payment target and preserves critical relationships with research sites globally.</w:t>
      </w:r>
    </w:p>
    <w:p>
      <w:r>
        <w:rPr>
          <w:rFonts w:ascii="Courier New" w:hAnsi="Courier New"/>
          <w:sz w:val="20"/>
        </w:rPr>
        <w:t>Desc_Yuno_Cap3: Replace slow international wires with local rails: UPI for India, PIX for Brazil, SEPA Instant for Europe, PromptPay for Thailand. One API, 1,000+ methods. Investigators get funds faster in local currency, improving site retention across 400+ studies.</w:t>
      </w:r>
    </w:p>
    <w:p>
      <w:r>
        <w:rPr>
          <w:rFonts w:ascii="Courier New" w:hAnsi="Courier New"/>
          <w:sz w:val="20"/>
        </w:rPr>
        <w:t>Desc_Yuno_Cap4: One dashboard for ICON's investigator payments across 53 countries, all currencies, all rails. Real-time status tracking by study, site, and country. Centralized Sunshine/EFPIA compliance reporting, reducing the 800+ annual regulatory reports burden.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ICON plc at a glance:</w:t>
      </w:r>
    </w:p>
    <w:p>
      <w:pPr>
        <w:pStyle w:val="ListBullet"/>
      </w:pPr>
      <w:r>
        <w:t>World-leading clinical research organization (CRO) for pharmaceutical, biotech, and medical device companies</w:t>
      </w:r>
    </w:p>
    <w:p>
      <w:pPr>
        <w:pStyle w:val="ListBullet"/>
      </w:pPr>
      <w:r>
        <w:t>Founded: 1990 by John Climax and Ronan Lambe in Dublin, Ireland</w:t>
      </w:r>
    </w:p>
    <w:p>
      <w:pPr>
        <w:pStyle w:val="ListBullet"/>
      </w:pPr>
      <w:r>
        <w:t>Public company: NASDAQ: ICLR</w:t>
      </w:r>
    </w:p>
    <w:p>
      <w:pPr>
        <w:pStyle w:val="ListBullet"/>
      </w:pPr>
      <w:r>
        <w:t>Revenue: $8.282B (FY2024); Q1 2025 revenue: $2.001B</w:t>
      </w:r>
    </w:p>
    <w:p>
      <w:pPr>
        <w:pStyle w:val="ListBullet"/>
      </w:pPr>
      <w:r>
        <w:t>2025 guidance: $7.75B-$8.15B (later withdrawn due to accounting investigation)</w:t>
      </w:r>
    </w:p>
    <w:p>
      <w:pPr>
        <w:pStyle w:val="ListBullet"/>
      </w:pPr>
      <w:r>
        <w:t>Adjusted EBITDA: $1.736B or 21.0% of revenue (FY2024)</w:t>
      </w:r>
    </w:p>
    <w:p>
      <w:pPr>
        <w:pStyle w:val="ListBullet"/>
      </w:pPr>
      <w:r>
        <w:t>Employees: ~40,100 (December 2025) across 97 locations in 55 countries</w:t>
      </w:r>
    </w:p>
    <w:p>
      <w:pPr>
        <w:pStyle w:val="ListBullet"/>
      </w:pPr>
      <w:r>
        <w:t>Service delivery in 93 countries total through local staff and partners</w:t>
      </w:r>
    </w:p>
    <w:p>
      <w:pPr>
        <w:pStyle w:val="ListBullet"/>
      </w:pPr>
      <w:r>
        <w:t>11,000+ oncology and haematology specialists</w:t>
      </w:r>
    </w:p>
    <w:p>
      <w:pPr>
        <w:pStyle w:val="ListBullet"/>
      </w:pPr>
      <w:r>
        <w:t>840+ oncology studies in the past five years</w:t>
      </w:r>
    </w:p>
    <w:p>
      <w:r>
        <w:rPr>
          <w:b/>
        </w:rPr>
        <w:t>Investigator Payments division:</w:t>
      </w:r>
    </w:p>
    <w:p>
      <w:pPr>
        <w:pStyle w:val="ListBullet"/>
      </w:pPr>
      <w:r>
        <w:t>130+ staff processing payments in 53 countries</w:t>
      </w:r>
    </w:p>
    <w:p>
      <w:pPr>
        <w:pStyle w:val="ListBullet"/>
      </w:pPr>
      <w:r>
        <w:t>400+ active studies across all therapeutic areas</w:t>
      </w:r>
    </w:p>
    <w:p>
      <w:pPr>
        <w:pStyle w:val="ListBullet"/>
      </w:pPr>
      <w:r>
        <w:t>200,000+ payments totaling $1B+ processed in last 3 years</w:t>
      </w:r>
    </w:p>
    <w:p>
      <w:pPr>
        <w:pStyle w:val="ListBullet"/>
      </w:pPr>
      <w:r>
        <w:t>Payment managers average 12+ years experience</w:t>
      </w:r>
    </w:p>
    <w:p>
      <w:pPr>
        <w:pStyle w:val="ListBullet"/>
      </w:pPr>
      <w:r>
        <w:t>Target: 90%+ payments within 30 days of invoice receipt</w:t>
      </w:r>
    </w:p>
    <w:p>
      <w:pPr>
        <w:pStyle w:val="ListBullet"/>
      </w:pPr>
      <w:r>
        <w:t>Technology: APECS platform for complex trial payment designs</w:t>
      </w:r>
    </w:p>
    <w:p>
      <w:pPr>
        <w:pStyle w:val="ListBullet"/>
      </w:pPr>
      <w:r>
        <w:t>800+ regulatory reports annually (Sunshine Law, EFPIA)</w:t>
      </w:r>
    </w:p>
    <w:p>
      <w:pPr>
        <w:pStyle w:val="ListBullet"/>
      </w:pPr>
      <w:r>
        <w:t>In-house VAT management saving sponsors up to 20% of payment value</w:t>
      </w:r>
    </w:p>
    <w:p>
      <w:r>
        <w:rPr>
          <w:b/>
        </w:rPr>
        <w:t>Confirmed PSPs / Payment infrastructure:</w:t>
      </w:r>
    </w:p>
    <w:p>
      <w:pPr>
        <w:pStyle w:val="ListBullet"/>
      </w:pPr>
      <w:r>
        <w:t>APECS: proprietary investigator payment platform</w:t>
      </w:r>
    </w:p>
    <w:p>
      <w:pPr>
        <w:pStyle w:val="ListBullet"/>
      </w:pPr>
      <w:r>
        <w:t>Bank wire transfers: primary method for investigator payments globally</w:t>
      </w:r>
    </w:p>
    <w:p>
      <w:pPr>
        <w:pStyle w:val="ListBullet"/>
      </w:pPr>
      <w:r>
        <w:t>Stripe: likely used for internal SaaS tools and digital subscriptions</w:t>
      </w:r>
    </w:p>
    <w:p>
      <w:pPr>
        <w:pStyle w:val="ListBullet"/>
      </w:pPr>
      <w:r>
        <w:t>No payment orchestrator detected for investigator payment flows</w:t>
      </w:r>
    </w:p>
    <w:p>
      <w:r>
        <w:rPr>
          <w:b/>
        </w:rPr>
        <w:t>Recent developments (caution):</w:t>
      </w:r>
    </w:p>
    <w:p>
      <w:pPr>
        <w:pStyle w:val="ListBullet"/>
      </w:pPr>
      <w:r>
        <w:t>Audit Committee investigation initiated October 2025 into accounting practices</w:t>
      </w:r>
    </w:p>
    <w:p>
      <w:pPr>
        <w:pStyle w:val="ListBullet"/>
      </w:pPr>
      <w:r>
        <w:t>Focus on revenue recognition in fiscal years 2023-2025</w:t>
      </w:r>
    </w:p>
    <w:p>
      <w:pPr>
        <w:pStyle w:val="ListBullet"/>
      </w:pPr>
      <w:r>
        <w:t>Previously issued 2025 guidance withdrawn</w:t>
      </w:r>
    </w:p>
    <w:p>
      <w:pPr>
        <w:pStyle w:val="ListBullet"/>
      </w:pPr>
      <w:r>
        <w:t>Q1 2025 revenue still strong at $2.001B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(largest revenue market)</w:t>
      </w:r>
    </w:p>
    <w:p>
      <w:r>
        <w:t>Currently offer: Bank wire, ACH</w:t>
      </w:r>
    </w:p>
    <w:p>
      <w:r>
        <w:t>Missing: Instant ACH, payment status tracking for sites</w:t>
      </w:r>
    </w:p>
    <w:p>
      <w:r>
        <w:t>US investigator sites expect fast, transparent payments. Manual wire processes create delays and support overhead.</w:t>
      </w:r>
    </w:p>
    <w:p>
      <w:r>
        <w:rPr>
          <w:b/>
        </w:rPr>
        <w:t>MARKET 2: India (growing clinical trial market)</w:t>
      </w:r>
    </w:p>
    <w:p>
      <w:r>
        <w:t>Currently offer: International bank wire (USD)</w:t>
      </w:r>
    </w:p>
    <w:p>
      <w:r>
        <w:t>Missing: UPI, IMPS, NEFT, INR local rails</w:t>
      </w:r>
    </w:p>
    <w:p>
      <w:r>
        <w:t>India is the fastest-growing clinical trial destination. UPI enables instant settlement at near-zero cost compared to international wires.</w:t>
      </w:r>
    </w:p>
    <w:p>
      <w:r>
        <w:rPr>
          <w:b/>
        </w:rPr>
        <w:t>MARKET 3: Europe (28+ countries)</w:t>
      </w:r>
    </w:p>
    <w:p>
      <w:r>
        <w:t>Currently offer: SEPA Credit Transfer, bank wire</w:t>
      </w:r>
    </w:p>
    <w:p>
      <w:r>
        <w:t>Missing: SEPA Instant, local instant payment rails per country</w:t>
      </w:r>
    </w:p>
    <w:p>
      <w:r>
        <w:t>SEPA Instant settles in seconds vs. 1-2 days for standard SEPA. Investigators in 27+ EU countries would benefit from real-time payments.</w:t>
      </w:r>
    </w:p>
    <w:p>
      <w:r>
        <w:rPr>
          <w:b/>
        </w:rPr>
        <w:t>MARKET 4: Brazil (emerging CRO market)</w:t>
      </w:r>
    </w:p>
    <w:p>
      <w:r>
        <w:t>Currently offer: International bank wire</w:t>
      </w:r>
    </w:p>
    <w:p>
      <w:r>
        <w:t>Missing: PIX, TED, local bank transfer</w:t>
      </w:r>
    </w:p>
    <w:p>
      <w:r>
        <w:t>PIX processes instantly and is free for recipients. Brazilian investigator sites receiving international wires face 3-5 day delays and high bank fees.</w:t>
      </w:r>
    </w:p>
    <w:p>
      <w:r>
        <w:rPr>
          <w:b/>
        </w:rPr>
        <w:t>MARKET 5: Japan (major pharma market)</w:t>
      </w:r>
    </w:p>
    <w:p>
      <w:r>
        <w:t>Currently offer: Bank wire (furikomi)</w:t>
      </w:r>
    </w:p>
    <w:p>
      <w:r>
        <w:t>Missing: Faster Payments, optimized local bank routing</w:t>
      </w:r>
    </w:p>
    <w:p>
      <w:r>
        <w:t>Japan is the third-largest pharmaceutical market. Optimized local routing could reduce settlement times and fees for Japanese research sites.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$1B+ in payouts</w:t>
      </w:r>
      <w:r>
        <w:t xml:space="preserve"> | ICON processed over $1B in investigator payments in 3 years across 53 countries. Even 1% routing optimization is $3M+ in savings</w:t>
      </w:r>
    </w:p>
    <w:p>
      <w:r>
        <w:t xml:space="preserve">2. </w:t>
      </w:r>
      <w:r>
        <w:rPr>
          <w:b/>
        </w:rPr>
        <w:t>90% on-time target</w:t>
      </w:r>
      <w:r>
        <w:t xml:space="preserve"> | Failed bank transfers require manual rerouting. Failover automation protects the on-time KPI that drives site relationships</w:t>
      </w:r>
    </w:p>
    <w:p>
      <w:r>
        <w:t xml:space="preserve">3. </w:t>
      </w:r>
      <w:r>
        <w:rPr>
          <w:b/>
        </w:rPr>
        <w:t>53-country complexity</w:t>
      </w:r>
      <w:r>
        <w:t xml:space="preserve"> | Each country has different rails, currencies, and regulations. Orchestration reduces the operational burden on 130+ payment staff</w:t>
      </w:r>
    </w:p>
    <w:p>
      <w:r>
        <w:t xml:space="preserve">4. </w:t>
      </w:r>
      <w:r>
        <w:rPr>
          <w:b/>
        </w:rPr>
        <w:t>VAT reclaim opportunity</w:t>
      </w:r>
      <w:r>
        <w:t xml:space="preserve"> | Up to 20% of payment value recoverable through VAT management. Better payment routing data improves reclaim accuracy</w:t>
      </w:r>
    </w:p>
    <w:p>
      <w:r>
        <w:t xml:space="preserve">5. </w:t>
      </w:r>
      <w:r>
        <w:rPr>
          <w:b/>
        </w:rPr>
        <w:t>Accounting investigation</w:t>
      </w:r>
      <w:r>
        <w:t xml:space="preserve"> | ICON is under scrutiny for revenue recognition. Transparent, auditable payment flows become even more critical</w:t>
      </w:r>
    </w:p>
    <w:p>
      <w:r>
        <w:t xml:space="preserve">6. </w:t>
      </w:r>
      <w:r>
        <w:rPr>
          <w:b/>
        </w:rPr>
        <w:t>Competitive CRO landscape</w:t>
      </w:r>
      <w:r>
        <w:t xml:space="preserve"> | Competitors like IQVIA, Parexel, and Covance investing in payment modernization. Slow investigator payments are a site retention risk</w:t>
      </w:r>
    </w:p>
    <w:p>
      <w:r>
        <w:rPr>
          <w:b/>
        </w:rPr>
        <w:t>Sources:</w:t>
      </w:r>
    </w:p>
    <w:p>
      <w:pPr>
        <w:pStyle w:val="ListBullet"/>
      </w:pPr>
      <w:r>
        <w:t>[ICON plc Official Website](https://www.iconplc.com/)</w:t>
      </w:r>
    </w:p>
    <w:p>
      <w:pPr>
        <w:pStyle w:val="ListBullet"/>
      </w:pPr>
      <w:r>
        <w:t>[ICON Investigator Payments](https://www.iconplc.com/solutions/clinical-scientific-operations/investigator-payments)</w:t>
      </w:r>
    </w:p>
    <w:p>
      <w:pPr>
        <w:pStyle w:val="ListBullet"/>
      </w:pPr>
      <w:r>
        <w:t>[ICON Facts and Figures](https://www.iconplc.com/news-events/mediakit/facts-and-figures)</w:t>
      </w:r>
    </w:p>
    <w:p>
      <w:pPr>
        <w:pStyle w:val="ListBullet"/>
      </w:pPr>
      <w:r>
        <w:t>[ICON Q4/FY2024 Results](https://www.iconplc.com/news-events/press-releases/icon-reports-fourth-quarter-and-full-year-2024-results)</w:t>
      </w:r>
    </w:p>
    <w:p>
      <w:pPr>
        <w:pStyle w:val="ListBullet"/>
      </w:pPr>
      <w:r>
        <w:t>[ICON Q1 2025 Results](https://www.iconplc.com/news-events/press-releases/icon-report-first-quarter-2025-results)</w:t>
      </w:r>
    </w:p>
    <w:p>
      <w:pPr>
        <w:pStyle w:val="ListBullet"/>
      </w:pPr>
      <w:r>
        <w:t>[ICON Q3 2025 Results](https://www.iconplc.com/news-events/press-releases/icon-reports-third-quarter-2025-results)</w:t>
      </w:r>
    </w:p>
    <w:p>
      <w:pPr>
        <w:pStyle w:val="ListBullet"/>
      </w:pPr>
      <w:r>
        <w:t>[ICON Accounting Investigation Update](https://www.iconplc.com/news-events/press-releases/icon-plc-provides-update-timing-fourth-quarter-and-full-year-2025)</w:t>
      </w:r>
    </w:p>
    <w:p>
      <w:pPr>
        <w:pStyle w:val="ListBullet"/>
      </w:pPr>
      <w:r>
        <w:t>[ICON Wikipedia](https://en.wikipedia.org/wiki/ICON_PLC)</w:t>
      </w:r>
    </w:p>
    <w:p>
      <w:pPr>
        <w:pStyle w:val="ListBullet"/>
      </w:pPr>
      <w:r>
        <w:t>[ICON Asia Pacific](https://www.iconplc.com/about/icon-in-asia-pacific)</w:t>
      </w:r>
    </w:p>
    <w:p>
      <w:pPr>
        <w:pStyle w:val="ListBullet"/>
      </w:pPr>
      <w:r>
        <w:t>[ICON at a Glance](https://www.iconplc.com/about/icon-glance)</w:t>
      </w:r>
    </w:p>
    <w:p>
      <w:pPr>
        <w:pStyle w:val="ListBullet"/>
      </w:pPr>
      <w:r>
        <w:t>[Brandfetch: ICON plc Logo](https://brandfetch.com/iconplc.com)</w:t>
      </w:r>
    </w:p>
    <w:p>
      <w:pPr>
        <w:pStyle w:val="ListBullet"/>
      </w:pPr>
      <w:r>
        <w:t>[MacroTrends: ICON Revenue](https://www.macrotrends.net/stocks/charts/ICLR/icon/revenue)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