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ServiceNow</w:t>
      </w:r>
    </w:p>
    <w:p>
      <w:r>
        <w:t>=======================================</w:t>
      </w:r>
    </w:p>
    <w:p/>
    <w:p>
      <w:r>
        <w:t>Logo: https://cdn.brandfetch.io/servicenow.com/w/512/h/512/logo</w:t>
      </w:r>
    </w:p>
    <w:p>
      <w:r>
        <w:t>Nombre merchant: ServiceNow</w:t>
      </w:r>
    </w:p>
    <w:p/>
    <w:p>
      <w:r>
        <w:t>SLIDE 1: PAIN POINTS</w:t>
      </w:r>
    </w:p>
    <w:p/>
    <w:p>
      <w:r>
        <w:t>Tittle_Pain Point_1: USD-Only Store Billing</w:t>
      </w:r>
    </w:p>
    <w:p>
      <w:r>
        <w:t>Tittle_Pain Point_2: 37% Non-US Revenue Gap</w:t>
      </w:r>
    </w:p>
    <w:p>
      <w:r>
        <w:t>Tittle_Pain Point_3: No Failover on Renewals</w:t>
      </w:r>
    </w:p>
    <w:p>
      <w:r>
        <w:t>Tittle_Pain Point_4: Enterprise Invoice Limits</w:t>
      </w:r>
    </w:p>
    <w:p>
      <w:r>
        <w:t>Tittle_Pain Point_5: APAC Payment Friction</w:t>
      </w:r>
    </w:p>
    <w:p/>
    <w:p>
      <w:r>
        <w:t>Desc_Pain Point_1: Store charges USD only via credit card. Enterprise clients paying $1M+ subscriptions face card limits, FX surcharges, and procurement violations.</w:t>
      </w:r>
    </w:p>
    <w:p>
      <w:r>
        <w:t>Desc_Pain Point_2: 37% of $13.28B revenue is non-US ($3.4B EMEA, $1.53B APAC) with no local payment methods. International clients forced through USD card or manual PO.</w:t>
      </w:r>
    </w:p>
    <w:p>
      <w:r>
        <w:t>Desc_Pain Point_3: 8,800+ enterprise renewals at $1.5M avg ACV. A single card decline or processing error risks losing a client. No multi-acquirer failover exists.</w:t>
      </w:r>
    </w:p>
    <w:p>
      <w:r>
        <w:t>Desc_Pain Point_4: 603 accounts at $5M+ ACV need automated local invoicing and multi-currency settlement. Manual PO processes cannot scale for global enterprises.</w:t>
      </w:r>
    </w:p>
    <w:p>
      <w:r>
        <w:t>Desc_Pain Point_5: APAC is fastest-growing (+23% YoY, $1.53B). Japan expects Konbini, India needs UPI, Australia prefers BPAY. USD-only billing limits growth.</w:t>
      </w:r>
    </w:p>
    <w:p/>
    <w:p>
      <w:r>
        <w:t>SLIDE 1: PSP TOPOLOGY</w:t>
      </w:r>
    </w:p>
    <w:p/>
    <w:p>
      <w:r>
        <w:t>PSP_1: Credit Card (ServiceNow Store)</w:t>
      </w:r>
    </w:p>
    <w:p>
      <w:r>
        <w:t>PSP_2: Purchase Order / Wire Transfer (enterprise)</w:t>
      </w:r>
    </w:p>
    <w:p>
      <w:r>
        <w:t>PSP_3: AWS Marketplace (indirect channel)</w:t>
      </w:r>
    </w:p>
    <w:p/>
    <w:p>
      <w:r>
        <w:t>SLIDE 1: MISSING LOCAL METHODS (BLIND SPOTS)</w:t>
      </w:r>
    </w:p>
    <w:p/>
    <w:p>
      <w:r>
        <w:t>Local_M_1: SEPA Direct Debit (Europe)</w:t>
      </w:r>
    </w:p>
    <w:p>
      <w:r>
        <w:t>Local_M_2: Konbini (Japan)</w:t>
      </w:r>
    </w:p>
    <w:p>
      <w:r>
        <w:t>Local_M_3: UPI (India)</w:t>
      </w:r>
    </w:p>
    <w:p>
      <w:r>
        <w:t>Local_M_4: BPAY (Australia)</w:t>
      </w:r>
    </w:p>
    <w:p>
      <w:r>
        <w:t>Local_M_5: iDEAL (Netherlands)</w:t>
      </w:r>
    </w:p>
    <w:p>
      <w:r>
        <w:t>Local_M_6: Boleto (Brazil)</w:t>
      </w:r>
    </w:p>
    <w:p>
      <w:r>
        <w:t>Local_M_7: BACS Direct Debit (UK)</w:t>
      </w:r>
    </w:p>
    <w:p>
      <w:r>
        <w:t>Local_M_8: Bancontact (Belgium)</w:t>
      </w:r>
    </w:p>
    <w:p>
      <w:r>
        <w:t>Local_M_9: BLIK (Poland)</w:t>
      </w:r>
    </w:p>
    <w:p>
      <w:r>
        <w:t>Local_M_10: PIX (Brazil)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renewal to the best acquirer by card BIN, geography, and currency. With $13.28B subscription revenue across 8,800+ clients in 50+ countries, a 3% auth uplift recovers $400M+ in at-risk recurring revenue.</w:t>
      </w:r>
    </w:p>
    <w:p>
      <w:r>
        <w:t>Desc_Yuno_Cap2: When a $5M+ ACV renewal declines, Yuno reroutes in milliseconds to a backup processor. Up to 50% recovery on soft declines, protecting the subscription base driving 98%+ of ServiceNow's revenue.</w:t>
      </w:r>
    </w:p>
    <w:p>
      <w:r>
        <w:t>Desc_Yuno_Cap3: SEPA for the $3.4B EMEA region, Konbini for Japan, UPI for India, BPAY for Australia. One API, 1,000+ methods, zero engineering per market. Removes procurement friction for 37% of revenue outside North America.</w:t>
      </w:r>
    </w:p>
    <w:p>
      <w:r>
        <w:t>Desc_Yuno_Cap4: One dashboard for subscription billing across all processors, methods, and geographies. Real-time approval monitoring per region, centralized reconciliation in 50+ countries, renewal health analytics by ACV tier.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ServiceNow at a glance:</w:t>
      </w:r>
    </w:p>
    <w:p>
      <w:pPr>
        <w:pStyle w:val="ListBullet"/>
      </w:pPr>
      <w:r>
        <w:t>Cloud computing platform for automated business workflows (ITSM, ITOM, HR, CSM, SecOps)</w:t>
      </w:r>
    </w:p>
    <w:p>
      <w:pPr>
        <w:pStyle w:val="ListBullet"/>
      </w:pPr>
      <w:r>
        <w:t>NYSE: NOW | S&amp;P 100 and S&amp;P 500 constituent</w:t>
      </w:r>
    </w:p>
    <w:p>
      <w:pPr>
        <w:pStyle w:val="ListBullet"/>
      </w:pPr>
      <w:r>
        <w:t>Revenue: $13.28B (FY2025, +20.8% YoY); forecasted $15B+ for 2026</w:t>
      </w:r>
    </w:p>
    <w:p>
      <w:pPr>
        <w:pStyle w:val="ListBullet"/>
      </w:pPr>
      <w:r>
        <w:t>Q1 2026: revenue growth accelerated to 22% YoY</w:t>
      </w:r>
    </w:p>
    <w:p>
      <w:pPr>
        <w:pStyle w:val="ListBullet"/>
      </w:pPr>
      <w:r>
        <w:t>Founded: 2003 by Fred Luddy</w:t>
      </w:r>
    </w:p>
    <w:p>
      <w:pPr>
        <w:pStyle w:val="ListBullet"/>
      </w:pPr>
      <w:r>
        <w:t>Headquarters: Santa Clara, California</w:t>
      </w:r>
    </w:p>
    <w:p>
      <w:pPr>
        <w:pStyle w:val="ListBullet"/>
      </w:pPr>
      <w:r>
        <w:t>Employees: 29,732 (Q1 2026); 9,556 in R&amp;D</w:t>
      </w:r>
    </w:p>
    <w:p>
      <w:pPr>
        <w:pStyle w:val="ListBullet"/>
      </w:pPr>
      <w:r>
        <w:t>Customers: 8,800+ globally, including 85% of Fortune 500</w:t>
      </w:r>
    </w:p>
    <w:p>
      <w:pPr>
        <w:pStyle w:val="ListBullet"/>
      </w:pPr>
      <w:r>
        <w:t>603 customers with $5M+ ACV (Q2 2025)</w:t>
      </w:r>
    </w:p>
    <w:p>
      <w:pPr>
        <w:pStyle w:val="ListBullet"/>
      </w:pPr>
      <w:r>
        <w:t>2,109 customers with $1M+ ACV (average $5M ACV)</w:t>
      </w:r>
    </w:p>
    <w:p>
      <w:pPr>
        <w:pStyle w:val="ListBullet"/>
      </w:pPr>
      <w:r>
        <w:t>Projected: 3,066 customers with $1M+ ACV by 2026</w:t>
      </w:r>
    </w:p>
    <w:p>
      <w:pPr>
        <w:pStyle w:val="ListBullet"/>
      </w:pPr>
      <w:r>
        <w:t>"Rule of 50" score: 54% (only company in peer group exceeding this benchmark)</w:t>
      </w:r>
    </w:p>
    <w:p>
      <w:pPr>
        <w:pStyle w:val="ListBullet"/>
      </w:pPr>
      <w:r>
        <w:t>Recognized as leader by Gartner, Forrester, and IDC across multiple categories</w:t>
      </w:r>
    </w:p>
    <w:p/>
    <w:p>
      <w:r>
        <w:rPr>
          <w:b/>
        </w:rPr>
        <w:t>Revenue by geography (FY2025):</w:t>
      </w:r>
    </w:p>
    <w:p>
      <w:pPr>
        <w:pStyle w:val="ListBullet"/>
      </w:pPr>
      <w:r>
        <w:t>North America: $8.35B (63%)</w:t>
      </w:r>
    </w:p>
    <w:p>
      <w:pPr>
        <w:pStyle w:val="ListBullet"/>
      </w:pPr>
      <w:r>
        <w:t>EMEA: $3.40B (26%)</w:t>
      </w:r>
    </w:p>
    <w:p>
      <w:pPr>
        <w:pStyle w:val="ListBullet"/>
      </w:pPr>
      <w:r>
        <w:t>Asia Pacific &amp; Other: $1.53B (11%, fastest growing at +23% YoY)</w:t>
      </w:r>
    </w:p>
    <w:p/>
    <w:p>
      <w:r>
        <w:rPr>
          <w:b/>
        </w:rPr>
        <w:t>Revenue by product (FY2025):</w:t>
      </w:r>
    </w:p>
    <w:p>
      <w:pPr>
        <w:pStyle w:val="ListBullet"/>
      </w:pPr>
      <w:r>
        <w:t>Technology Workflows: 47%</w:t>
      </w:r>
    </w:p>
    <w:p>
      <w:pPr>
        <w:pStyle w:val="ListBullet"/>
      </w:pPr>
      <w:r>
        <w:t>Customer &amp; Employee Workflows: 31%</w:t>
      </w:r>
    </w:p>
    <w:p>
      <w:pPr>
        <w:pStyle w:val="ListBullet"/>
      </w:pPr>
      <w:r>
        <w:t>Creator Workflows &amp; Others: 22%</w:t>
      </w:r>
    </w:p>
    <w:p/>
    <w:p>
      <w:r>
        <w:rPr>
          <w:b/>
        </w:rPr>
        <w:t>Confirmed PSPs &amp; billing infrastructure:</w:t>
      </w:r>
    </w:p>
    <w:p>
      <w:pPr>
        <w:pStyle w:val="ListBullet"/>
      </w:pPr>
      <w:r>
        <w:t>ServiceNow Store: credit card payments in USD only (12-month minimum subscription)</w:t>
      </w:r>
    </w:p>
    <w:p>
      <w:pPr>
        <w:pStyle w:val="ListBullet"/>
      </w:pPr>
      <w:r>
        <w:t>Enterprise procurement: Purchase Order (PO) process with manual quote-to-PO workflow</w:t>
      </w:r>
    </w:p>
    <w:p>
      <w:pPr>
        <w:pStyle w:val="ListBullet"/>
      </w:pPr>
      <w:r>
        <w:t>AWS Marketplace: available as indirect billing channel</w:t>
      </w:r>
    </w:p>
    <w:p>
      <w:pPr>
        <w:pStyle w:val="ListBullet"/>
      </w:pPr>
      <w:r>
        <w:t>Zuora: likely subscription billing platform (based on industry patterns and Zuora/ServiceNow ecosystem references)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public mention of Stripe, Adyen, or specific payment gateway</w:t>
      </w:r>
    </w:p>
    <w:p/>
    <w:p>
      <w:r>
        <w:rPr>
          <w:b/>
        </w:rPr>
        <w:t>How customers pay:</w:t>
      </w:r>
    </w:p>
    <w:p>
      <w:pPr>
        <w:pStyle w:val="ListBullet"/>
      </w:pPr>
      <w:r>
        <w:t>Credit card (ServiceNow Store, USD only)</w:t>
      </w:r>
    </w:p>
    <w:p>
      <w:pPr>
        <w:pStyle w:val="ListBullet"/>
      </w:pPr>
      <w:r>
        <w:t>Purchase Order with invoice (enterprise, manual process)</w:t>
      </w:r>
    </w:p>
    <w:p>
      <w:pPr>
        <w:pStyle w:val="ListBullet"/>
      </w:pPr>
      <w:r>
        <w:t>AWS Marketplace billing (cloud commitment credits)</w:t>
      </w:r>
    </w:p>
    <w:p>
      <w:pPr>
        <w:pStyle w:val="ListBullet"/>
      </w:pPr>
      <w:r>
        <w:t>Capchase financing (third-party SaaS payment plans)</w:t>
      </w:r>
    </w:p>
    <w:p/>
    <w:p>
      <w:r>
        <w:rPr>
          <w:b/>
        </w:rPr>
        <w:t>Top 5 Markets Gap Analysis:</w:t>
      </w:r>
    </w:p>
    <w:p/>
    <w:p>
      <w:r>
        <w:t>MARKET 1: United States (63% of revenue, ~$8.35B)</w:t>
      </w:r>
    </w:p>
    <w:p>
      <w:r>
        <w:t>Currently offer: Credit card, purchase order, wire transfer</w:t>
      </w:r>
    </w:p>
    <w:p>
      <w:r>
        <w:t>Missing: ACH Direct Debit for automated subscription billing</w:t>
      </w:r>
    </w:p>
    <w:p>
      <w:r>
        <w:t>Fortune 500 CFOs prefer ACH over credit card for $1M+ annual SaaS subscriptions. Manual PO process does not scale.</w:t>
      </w:r>
    </w:p>
    <w:p/>
    <w:p>
      <w:r>
        <w:t>MARKET 2: United Kingdom &amp; Ireland (~$1B+ estimated)</w:t>
      </w:r>
    </w:p>
    <w:p>
      <w:r>
        <w:t>Currently offer: Credit card (USD), purchase order</w:t>
      </w:r>
    </w:p>
    <w:p>
      <w:r>
        <w:t>Missing: BACS Direct Debit, Open Banking, GBP invoicing</w:t>
      </w:r>
    </w:p>
    <w:p>
      <w:r>
        <w:t>UK enterprises (HSBC, BP, Rolls-Royce) require GBP billing and BACS DD for recurring SaaS spend. USD credit card creates procurement friction.</w:t>
      </w:r>
    </w:p>
    <w:p/>
    <w:p>
      <w:r>
        <w:t>MARKET 3: Germany / DACH (~$800M+ estimated)</w:t>
      </w:r>
    </w:p>
    <w:p>
      <w:r>
        <w:t>Currently offer: Credit card (USD), purchase order</w:t>
      </w:r>
    </w:p>
    <w:p>
      <w:r>
        <w:t>Missing: SEPA Direct Debit, Sofort, EUR invoicing, Lastschrift</w:t>
      </w:r>
    </w:p>
    <w:p>
      <w:r>
        <w:t>German enterprises (Siemens, SAP, Allianz) strongly prefer SEPA DD or invoice payment. Credit card penetration is ~35% in DACH.</w:t>
      </w:r>
    </w:p>
    <w:p/>
    <w:p>
      <w:r>
        <w:t>MARKET 4: Japan (~$500M+ estimated)</w:t>
      </w:r>
    </w:p>
    <w:p>
      <w:r>
        <w:t>Currently offer: Credit card (USD), purchase order</w:t>
      </w:r>
    </w:p>
    <w:p>
      <w:r>
        <w:t>Missing: Konbini, bank transfer (furikomi), JCB optimization, JPY invoicing</w:t>
      </w:r>
    </w:p>
    <w:p>
      <w:r>
        <w:t>Japanese enterprise procurement requires local bank transfer or dedicated invoice. USD card billing violates many corporate payment policies.</w:t>
      </w:r>
    </w:p>
    <w:p/>
    <w:p>
      <w:r>
        <w:t>MARKET 5: Australia (~$400M+ estimated)</w:t>
      </w:r>
    </w:p>
    <w:p>
      <w:r>
        <w:t>Currently offer: Credit card (USD), purchase order</w:t>
      </w:r>
    </w:p>
    <w:p>
      <w:r>
        <w:t>Missing: BPAY, Direct Debit, AUD invoicing</w:t>
      </w:r>
    </w:p>
    <w:p>
      <w:r>
        <w:t>BPAY is the standard for Australian B2B payments. AUD invoicing is expected for recurring enterprise SaaS contracts.</w:t>
      </w:r>
    </w:p>
    <w:p/>
    <w:p>
      <w:r>
        <w:rPr>
          <w:b/>
        </w:rPr>
        <w:t>Key meeting angles:</w:t>
      </w:r>
    </w:p>
    <w:p>
      <w:r>
        <w:t>1. **$13.28B subscription machine** | 98%+ of revenue is recurring subscription. Payment infrastructure directly impacts the renewability of the entire revenue base.</w:t>
      </w:r>
    </w:p>
    <w:p>
      <w:r>
        <w:t>2. **37% international revenue** | $4.93B from non-US markets with no local payment methods. Each market has preferred rails that ServiceNow ignores.</w:t>
      </w:r>
    </w:p>
    <w:p>
      <w:r>
        <w:t>3. **603 accounts at $5M+ ACV** | A single failed renewal on these accounts = $5M+ at risk. Multi-acquirer failover is essential at this contract size.</w:t>
      </w:r>
    </w:p>
    <w:p>
      <w:r>
        <w:t>4. **APAC is fastest growing** | +23% YoY in a region that demands Konbini (Japan), UPI (India), and BPAY (Australia). Payment localization unlocks further growth.</w:t>
      </w:r>
    </w:p>
    <w:p>
      <w:r>
        <w:t>5. **Fortune 500 procurement** | 85% of Fortune 500 are customers. These companies have strict payment policies: local currency, SEPA/BACS DD, purchase order integration.</w:t>
      </w:r>
    </w:p>
    <w:p>
      <w:r>
        <w:t>6. **Competitive pressure** | Salesforce, SAP, Oracle all offer localized billing. ServiceNow's USD-only Store is a competitive disadvantage for international procurement.</w:t>
      </w:r>
    </w:p>
    <w:p/>
    <w:p>
      <w:r>
        <w:rPr>
          <w:b/>
        </w:rPr>
        <w:t>Sources:</w:t>
      </w:r>
    </w:p>
    <w:p>
      <w:pPr>
        <w:pStyle w:val="ListBullet"/>
      </w:pPr>
      <w:r>
        <w:t>[ServiceNow Wikipedia](https://en.wikipedia.org/wiki/ServiceNow)</w:t>
      </w:r>
    </w:p>
    <w:p>
      <w:pPr>
        <w:pStyle w:val="ListBullet"/>
      </w:pPr>
      <w:r>
        <w:t>[ServiceNow Statistics 2026](https://cyntexa.com/blog/servicenow-statistics/)</w:t>
      </w:r>
    </w:p>
    <w:p>
      <w:pPr>
        <w:pStyle w:val="ListBullet"/>
      </w:pPr>
      <w:r>
        <w:t>[ServiceNow FY2025 Results](https://newsroom.servicenow.com/press-releases/details/2026/ServiceNow-Reports-Fourth-Quarter-and-Full-Year-2025-Financial-Results-Board-of-Directors-Authorizes-Additional-5B-for-Share-Repurchase-Program/default.aspx)</w:t>
      </w:r>
    </w:p>
    <w:p>
      <w:pPr>
        <w:pStyle w:val="ListBullet"/>
      </w:pPr>
      <w:r>
        <w:t>[ServiceNow Q1 2026 Revenue Growth](https://www.investing.com/news/company-news/servicenow-q1-2026-slides-revenue-growth-accelerates-to-22-yy-93CH-4630999)</w:t>
      </w:r>
    </w:p>
    <w:p>
      <w:pPr>
        <w:pStyle w:val="ListBullet"/>
      </w:pPr>
      <w:r>
        <w:t>[ServiceNow Revenue by Geography](https://stockanalysis.com/stocks/now/metrics/revenue-by-geography/)</w:t>
      </w:r>
    </w:p>
    <w:p>
      <w:pPr>
        <w:pStyle w:val="ListBullet"/>
      </w:pPr>
      <w:r>
        <w:t>[ServiceNow Revenue (MacroTrends)](https://www.macrotrends.net/stocks/charts/NOW/servicenow/revenue)</w:t>
      </w:r>
    </w:p>
    <w:p>
      <w:pPr>
        <w:pStyle w:val="ListBullet"/>
      </w:pPr>
      <w:r>
        <w:t>[ServiceNow Store](https://store.servicenow.com/store)</w:t>
      </w:r>
    </w:p>
    <w:p>
      <w:pPr>
        <w:pStyle w:val="ListBullet"/>
      </w:pPr>
      <w:r>
        <w:t>[ServiceNow Store: How to Buy](https://www.alphaservesp.com/blog/exploring-the-servicenow-store-how-to-find-try-buy-and-install-apps)</w:t>
      </w:r>
    </w:p>
    <w:p>
      <w:pPr>
        <w:pStyle w:val="ListBullet"/>
      </w:pPr>
      <w:r>
        <w:t>[Brandfetch: ServiceNow Logo](https://brandfetch.com/servicenow.com)</w:t>
      </w:r>
    </w:p>
    <w:p>
      <w:pPr>
        <w:pStyle w:val="ListBullet"/>
      </w:pPr>
      <w:r>
        <w:t>[ServiceNow Q2 2025 Results (SEC)](https://www.sec.gov/Archives/edgar/data/1373715/000137371525000274/erq2fy25.htm)</w:t>
      </w:r>
    </w:p>
    <w:p>
      <w:pPr>
        <w:pStyle w:val="ListBullet"/>
      </w:pPr>
      <w:r>
        <w:t>[ServiceNow AWS Marketplace](https://aws.marketplace.pp/prodview-ruxchcof6gjpg)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