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32"/>
        </w:rPr>
        <w:t>WORKSPOT | Stripe Sessions Research (SS Database Format)</w:t>
      </w:r>
    </w:p>
    <w:p>
      <w:r>
        <w:rPr>
          <w:i/>
          <w:sz w:val="18"/>
        </w:rPr>
        <w:t>Generated: 2026-04-21</w:t>
      </w:r>
    </w:p>
    <w:p>
      <w:pPr>
        <w:spacing w:before="0" w:after="0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urier New" w:hAnsi="Courier New"/>
          <w:sz w:val="18"/>
        </w:rPr>
        <w:t>DATABASE FIELDS: Workspot</w:t>
      </w:r>
    </w:p>
    <w:p>
      <w:pPr>
        <w:spacing w:before="0" w:after="0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Logo: https://cdn.brandfetch.io/workspot.com/w/512/h/512/logo</w:t>
      </w:r>
    </w:p>
    <w:p>
      <w:pPr>
        <w:spacing w:before="0" w:after="0"/>
      </w:pPr>
      <w:r>
        <w:rPr>
          <w:rFonts w:ascii="Courier New" w:hAnsi="Courier New"/>
          <w:sz w:val="18"/>
        </w:rPr>
        <w:t>Nombre merchant: Workspot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SLIDE 1: PAIN POINTS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Tittle_Pain Point_1: USD-Only Billing</w:t>
      </w:r>
    </w:p>
    <w:p>
      <w:pPr>
        <w:spacing w:before="0" w:after="0"/>
      </w:pPr>
      <w:r>
        <w:rPr>
          <w:rFonts w:ascii="Courier New" w:hAnsi="Courier New"/>
          <w:sz w:val="18"/>
        </w:rPr>
        <w:t>Tittle_Pain Point_2: No Local Payment Methods</w:t>
      </w:r>
    </w:p>
    <w:p>
      <w:pPr>
        <w:spacing w:before="0" w:after="0"/>
      </w:pPr>
      <w:r>
        <w:rPr>
          <w:rFonts w:ascii="Courier New" w:hAnsi="Courier New"/>
          <w:sz w:val="18"/>
        </w:rPr>
        <w:t>Tittle_Pain Point_3: No Failover on Renewals</w:t>
      </w:r>
    </w:p>
    <w:p>
      <w:pPr>
        <w:spacing w:before="0" w:after="0"/>
      </w:pPr>
      <w:r>
        <w:rPr>
          <w:rFonts w:ascii="Courier New" w:hAnsi="Courier New"/>
          <w:sz w:val="18"/>
        </w:rPr>
        <w:t>Tittle_Pain Point_4: Marketplace Billing Split</w:t>
      </w:r>
    </w:p>
    <w:p>
      <w:pPr>
        <w:spacing w:before="0" w:after="0"/>
      </w:pPr>
      <w:r>
        <w:rPr>
          <w:rFonts w:ascii="Courier New" w:hAnsi="Courier New"/>
          <w:sz w:val="18"/>
        </w:rPr>
        <w:t>Tittle_Pain Point_5: Manual Invoice Overhead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Desc_Pain Point_1: All subscriptions billed in USD. Global clients like Siemens Energy (90 countries) absorb FX costs each cycle, adding procurement friction.</w:t>
      </w:r>
    </w:p>
    <w:p>
      <w:pPr>
        <w:spacing w:before="0" w:after="0"/>
      </w:pPr>
      <w:r>
        <w:rPr>
          <w:rFonts w:ascii="Courier New" w:hAnsi="Courier New"/>
          <w:sz w:val="18"/>
        </w:rPr>
        <w:t>Desc_Pain Point_2: No SEPA, UPI, PIX, or local bank transfers. Per-user annual billing with zero local methods blocks international expansion.</w:t>
      </w:r>
    </w:p>
    <w:p>
      <w:pPr>
        <w:spacing w:before="0" w:after="0"/>
      </w:pPr>
      <w:r>
        <w:rPr>
          <w:rFonts w:ascii="Courier New" w:hAnsi="Courier New"/>
          <w:sz w:val="18"/>
        </w:rPr>
        <w:t>Desc_Pain Point_3: Annual billing on contract anniversary. One acquirer decline suspends cloud desktops for the entire org. No retry cascade exists.</w:t>
      </w:r>
    </w:p>
    <w:p>
      <w:pPr>
        <w:spacing w:before="0" w:after="0"/>
      </w:pPr>
      <w:r>
        <w:rPr>
          <w:rFonts w:ascii="Courier New" w:hAnsi="Courier New"/>
          <w:sz w:val="18"/>
        </w:rPr>
        <w:t>Desc_Pain Point_4: Three billing channels (Azure, AWS, direct) each with separate payment flows. No unified dashboard across revenue streams.</w:t>
      </w:r>
    </w:p>
    <w:p>
      <w:pPr>
        <w:spacing w:before="0" w:after="0"/>
      </w:pPr>
      <w:r>
        <w:rPr>
          <w:rFonts w:ascii="Courier New" w:hAnsi="Courier New"/>
          <w:sz w:val="18"/>
        </w:rPr>
        <w:t>Desc_Pain Point_5: Net 30 invoices with 1.5% late fees. Mid-cycle user additions prorated monthly. No multi-currency invoicing for global accounts.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SLIDE 1: PSP TOPOLOGY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PSP_1: Credit Card (direct billing)</w:t>
      </w:r>
    </w:p>
    <w:p>
      <w:pPr>
        <w:spacing w:before="0" w:after="0"/>
      </w:pPr>
      <w:r>
        <w:rPr>
          <w:rFonts w:ascii="Courier New" w:hAnsi="Courier New"/>
          <w:sz w:val="18"/>
        </w:rPr>
        <w:t>PSP_2: Azure Marketplace</w:t>
      </w:r>
    </w:p>
    <w:p>
      <w:pPr>
        <w:spacing w:before="0" w:after="0"/>
      </w:pPr>
      <w:r>
        <w:rPr>
          <w:rFonts w:ascii="Courier New" w:hAnsi="Courier New"/>
          <w:sz w:val="18"/>
        </w:rPr>
        <w:t>PSP_3: AWS Marketplace</w:t>
      </w:r>
    </w:p>
    <w:p>
      <w:pPr>
        <w:spacing w:before="0" w:after="0"/>
      </w:pPr>
      <w:r>
        <w:rPr>
          <w:rFonts w:ascii="Courier New" w:hAnsi="Courier New"/>
          <w:sz w:val="18"/>
        </w:rPr>
        <w:t>PSP_4: Invoice / Net 30 (enterprise)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SLIDE 1: MISSING LOCAL METHODS (BLIND SPOTS)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Local_M_1: SEPA Direct Debit</w:t>
      </w:r>
    </w:p>
    <w:p>
      <w:pPr>
        <w:spacing w:before="0" w:after="0"/>
      </w:pPr>
      <w:r>
        <w:rPr>
          <w:rFonts w:ascii="Courier New" w:hAnsi="Courier New"/>
          <w:sz w:val="18"/>
        </w:rPr>
        <w:t>Local_M_2: iDEAL</w:t>
      </w:r>
    </w:p>
    <w:p>
      <w:pPr>
        <w:spacing w:before="0" w:after="0"/>
      </w:pPr>
      <w:r>
        <w:rPr>
          <w:rFonts w:ascii="Courier New" w:hAnsi="Courier New"/>
          <w:sz w:val="18"/>
        </w:rPr>
        <w:t>Local_M_3: UPI</w:t>
      </w:r>
    </w:p>
    <w:p>
      <w:pPr>
        <w:spacing w:before="0" w:after="0"/>
      </w:pPr>
      <w:r>
        <w:rPr>
          <w:rFonts w:ascii="Courier New" w:hAnsi="Courier New"/>
          <w:sz w:val="18"/>
        </w:rPr>
        <w:t>Local_M_4: PIX</w:t>
      </w:r>
    </w:p>
    <w:p>
      <w:pPr>
        <w:spacing w:before="0" w:after="0"/>
      </w:pPr>
      <w:r>
        <w:rPr>
          <w:rFonts w:ascii="Courier New" w:hAnsi="Courier New"/>
          <w:sz w:val="18"/>
        </w:rPr>
        <w:t>Local_M_5: Boleto</w:t>
      </w:r>
    </w:p>
    <w:p>
      <w:pPr>
        <w:spacing w:before="0" w:after="0"/>
      </w:pPr>
      <w:r>
        <w:rPr>
          <w:rFonts w:ascii="Courier New" w:hAnsi="Courier New"/>
          <w:sz w:val="18"/>
        </w:rPr>
        <w:t>Local_M_6: Konbini</w:t>
      </w:r>
    </w:p>
    <w:p>
      <w:pPr>
        <w:spacing w:before="0" w:after="0"/>
      </w:pPr>
      <w:r>
        <w:rPr>
          <w:rFonts w:ascii="Courier New" w:hAnsi="Courier New"/>
          <w:sz w:val="18"/>
        </w:rPr>
        <w:t>Local_M_7: BLIK</w:t>
      </w:r>
    </w:p>
    <w:p>
      <w:pPr>
        <w:spacing w:before="0" w:after="0"/>
      </w:pPr>
      <w:r>
        <w:rPr>
          <w:rFonts w:ascii="Courier New" w:hAnsi="Courier New"/>
          <w:sz w:val="18"/>
        </w:rPr>
        <w:t>Local_M_8: BACS Direct Debit</w:t>
      </w:r>
    </w:p>
    <w:p>
      <w:pPr>
        <w:spacing w:before="0" w:after="0"/>
      </w:pPr>
      <w:r>
        <w:rPr>
          <w:rFonts w:ascii="Courier New" w:hAnsi="Courier New"/>
          <w:sz w:val="18"/>
        </w:rPr>
        <w:t>Local_M_9: ACH Direct Debit</w:t>
      </w:r>
    </w:p>
    <w:p>
      <w:pPr>
        <w:spacing w:before="0" w:after="0"/>
      </w:pPr>
      <w:r>
        <w:rPr>
          <w:rFonts w:ascii="Courier New" w:hAnsi="Courier New"/>
          <w:sz w:val="18"/>
        </w:rPr>
        <w:t>Local_M_10: Bancontact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SLIDE 2: YUNO CAPABILITIES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Tittle_Yuno_Cap1: Smart Routing</w:t>
      </w:r>
    </w:p>
    <w:p>
      <w:pPr>
        <w:spacing w:before="0" w:after="0"/>
      </w:pPr>
      <w:r>
        <w:rPr>
          <w:rFonts w:ascii="Courier New" w:hAnsi="Courier New"/>
          <w:sz w:val="18"/>
        </w:rPr>
        <w:t>Tittle_Yuno_Cap2: Failover &amp; Retries</w:t>
      </w:r>
    </w:p>
    <w:p>
      <w:pPr>
        <w:spacing w:before="0" w:after="0"/>
      </w:pPr>
      <w:r>
        <w:rPr>
          <w:rFonts w:ascii="Courier New" w:hAnsi="Courier New"/>
          <w:sz w:val="18"/>
        </w:rPr>
        <w:t>Tittle_Yuno_Cap3: Local Payment Methods</w:t>
      </w:r>
    </w:p>
    <w:p>
      <w:pPr>
        <w:spacing w:before="0" w:after="0"/>
      </w:pPr>
      <w:r>
        <w:rPr>
          <w:rFonts w:ascii="Courier New" w:hAnsi="Courier New"/>
          <w:sz w:val="18"/>
        </w:rPr>
        <w:t>Tittle_Yuno_Cap4: Unified Orchestration</w:t>
      </w:r>
    </w:p>
    <w:p>
      <w:pPr>
        <w:spacing w:before="0" w:after="0"/>
      </w:pPr>
      <w:r>
        <w:rPr>
          <w:rFonts w:ascii="Courier New" w:hAnsi="Courier New"/>
          <w:sz w:val="18"/>
        </w:rPr>
      </w:r>
    </w:p>
    <w:p>
      <w:pPr>
        <w:spacing w:before="0" w:after="0"/>
      </w:pPr>
      <w:r>
        <w:rPr>
          <w:rFonts w:ascii="Courier New" w:hAnsi="Courier New"/>
          <w:sz w:val="18"/>
        </w:rPr>
        <w:t>Desc_Yuno_Cap1: Route each annual enterprise renewal to the highest-performing acquirer for that card BIN, issuer, and geography. With per-user SaaS pricing across customers in 15+ countries, even a 3% authorization uplift on renewals directly protects recurring cloud desktop revenue.</w:t>
      </w:r>
    </w:p>
    <w:p>
      <w:pPr>
        <w:spacing w:before="0" w:after="0"/>
      </w:pPr>
      <w:r>
        <w:rPr>
          <w:rFonts w:ascii="Courier New" w:hAnsi="Courier New"/>
          <w:sz w:val="18"/>
        </w:rPr>
        <w:t>Desc_Yuno_Cap2: Automatic retry cascades across multiple acquirers protect Workspot's annual renewal cycle. When a charge fails on anniversary day, Yuno reroutes in milliseconds to a backup processor, recovering up to 50% of soft declines and preventing desktop interruptions.</w:t>
      </w:r>
    </w:p>
    <w:p>
      <w:pPr>
        <w:spacing w:before="0" w:after="0"/>
      </w:pPr>
      <w:r>
        <w:rPr>
          <w:rFonts w:ascii="Courier New" w:hAnsi="Courier New"/>
          <w:sz w:val="18"/>
        </w:rPr>
        <w:t>Desc_Yuno_Cap3: Unlock enterprise billing across Workspot's global footprint: SEPA Direct Debit for EU customers like Siemens Energy and Rohm, UPI for India cloud regions, BACS for UK, ACH for US enterprises. One API, 1,000+ methods, zero engineering sprints per market.</w:t>
      </w:r>
    </w:p>
    <w:p>
      <w:pPr>
        <w:spacing w:before="0" w:after="0"/>
      </w:pPr>
      <w:r>
        <w:rPr>
          <w:rFonts w:ascii="Courier New" w:hAnsi="Courier New"/>
          <w:sz w:val="18"/>
        </w:rPr>
        <w:t>Desc_Yuno_Cap4: One dashboard consolidating Workspot's fragmented billing: direct enterprise contracts, Azure Marketplace transactions, and AWS Marketplace orders. Real-time approval monitoring per geography, centralized reconciliation, and churn analytics tied to payment failures.</w:t>
      </w:r>
    </w:p>
    <w:p/>
    <w:p>
      <w:r>
        <w:rPr>
          <w:b/>
          <w:color w:val="000000"/>
          <w:sz w:val="26"/>
        </w:rPr>
        <w:t>RESEARCH BACKING | Key Facts for the Meeting</w:t>
      </w:r>
    </w:p>
    <w:p>
      <w:r>
        <w:rPr>
          <w:i/>
          <w:sz w:val="18"/>
        </w:rPr>
        <w:t>Workspot at a glance:</w:t>
      </w:r>
    </w:p>
    <w:p>
      <w:pPr>
        <w:spacing w:before="0" w:after="20"/>
      </w:pPr>
      <w:r>
        <w:rPr>
          <w:sz w:val="20"/>
        </w:rPr>
        <w:t xml:space="preserve">  - Enterprise-class SaaS platform delivering Windows 10/11 Cloud PCs and workstations on Microsoft Azure, Google Cloud, and AWS</w:t>
      </w:r>
    </w:p>
    <w:p>
      <w:pPr>
        <w:spacing w:before="0" w:after="20"/>
      </w:pPr>
      <w:r>
        <w:rPr>
          <w:sz w:val="20"/>
        </w:rPr>
        <w:t xml:space="preserve">  - Founded: 2012 by Amitabh Sinha, Puneet Chawla, and Ty Wang</w:t>
      </w:r>
    </w:p>
    <w:p>
      <w:pPr>
        <w:spacing w:before="0" w:after="20"/>
      </w:pPr>
      <w:r>
        <w:rPr>
          <w:sz w:val="20"/>
        </w:rPr>
        <w:t xml:space="preserve">  - Headquarters: Campbell, California (1999 South Bascom Avenue)</w:t>
      </w:r>
    </w:p>
    <w:p>
      <w:pPr>
        <w:spacing w:before="0" w:after="20"/>
      </w:pPr>
      <w:r>
        <w:rPr>
          <w:sz w:val="20"/>
        </w:rPr>
        <w:t xml:space="preserve">  - Employees: ~125 across 3 continents (North America, Europe, Asia)</w:t>
      </w:r>
    </w:p>
    <w:p>
      <w:pPr>
        <w:spacing w:before="0" w:after="20"/>
      </w:pPr>
      <w:r>
        <w:rPr>
          <w:sz w:val="20"/>
        </w:rPr>
        <w:t xml:space="preserve">  - Total funding: $106M through Series E</w:t>
      </w:r>
    </w:p>
    <w:p>
      <w:pPr>
        <w:spacing w:before="0" w:after="20"/>
      </w:pPr>
      <w:r>
        <w:rPr>
          <w:sz w:val="20"/>
        </w:rPr>
        <w:t xml:space="preserve">  - Key investors: Kleiner Perkins, Qualcomm Ventures, Helion Ventures, Presidio Ventures, Translink Capital, Stoic VC</w:t>
      </w:r>
    </w:p>
    <w:p>
      <w:pPr>
        <w:spacing w:before="0" w:after="20"/>
      </w:pPr>
      <w:r>
        <w:rPr>
          <w:sz w:val="20"/>
        </w:rPr>
        <w:t xml:space="preserve">  - Estimated annual revenue: $16M-$40M (private company, varying estimates)</w:t>
      </w:r>
    </w:p>
    <w:p>
      <w:pPr>
        <w:spacing w:before="0" w:after="20"/>
      </w:pPr>
      <w:r>
        <w:rPr>
          <w:sz w:val="20"/>
        </w:rPr>
        <w:t xml:space="preserve">  - Multi-cloud: only enterprise VDI SaaS platform natively supporting Azure, AWS, and Google Cloud</w:t>
      </w:r>
    </w:p>
    <w:p>
      <w:pPr>
        <w:spacing w:before="0" w:after="20"/>
      </w:pPr>
      <w:r>
        <w:rPr>
          <w:sz w:val="20"/>
        </w:rPr>
        <w:t xml:space="preserve">  - Key differentiator: 100% cloud-native architecture; pilots launch in 1 day, production in 45 days</w:t>
      </w:r>
    </w:p>
    <w:p>
      <w:pPr>
        <w:spacing w:before="0" w:after="20"/>
      </w:pPr>
      <w:r>
        <w:rPr>
          <w:sz w:val="20"/>
        </w:rPr>
        <w:t xml:space="preserve">  - Cost savings: 50% on software, 67% on operational expenses vs. on-premises VDI</w:t>
      </w:r>
    </w:p>
    <w:p>
      <w:pPr>
        <w:spacing w:before="0" w:after="20"/>
      </w:pPr>
      <w:r>
        <w:rPr>
          <w:sz w:val="20"/>
        </w:rPr>
        <w:t xml:space="preserve">  - Industries served: manufacturing, financial services, healthcare, legal, AEC (architecture, engineering, construction), life sciences, higher education</w:t>
      </w:r>
    </w:p>
    <w:p>
      <w:r>
        <w:rPr>
          <w:i/>
          <w:sz w:val="18"/>
        </w:rPr>
        <w:t>Confirmed Payment Infrastructure:</w:t>
      </w:r>
    </w:p>
    <w:p>
      <w:pPr>
        <w:spacing w:before="0" w:after="20"/>
      </w:pPr>
      <w:r>
        <w:rPr>
          <w:sz w:val="20"/>
        </w:rPr>
        <w:t xml:space="preserve">  - Enterprise billing: annual subscription, per-user pricing, billed on contract anniversary</w:t>
      </w:r>
    </w:p>
    <w:p>
      <w:pPr>
        <w:spacing w:before="0" w:after="20"/>
      </w:pPr>
      <w:r>
        <w:rPr>
          <w:sz w:val="20"/>
        </w:rPr>
        <w:t xml:space="preserve">  - Mid-cycle additions: prorated, billed in the next calendar month</w:t>
      </w:r>
    </w:p>
    <w:p>
      <w:pPr>
        <w:spacing w:before="0" w:after="20"/>
      </w:pPr>
      <w:r>
        <w:rPr>
          <w:sz w:val="20"/>
        </w:rPr>
        <w:t xml:space="preserve">  - Payment terms: Net 30 invoicing; late fee of 1.5% per month</w:t>
      </w:r>
    </w:p>
    <w:p>
      <w:pPr>
        <w:spacing w:before="0" w:after="20"/>
      </w:pPr>
      <w:r>
        <w:rPr>
          <w:sz w:val="20"/>
        </w:rPr>
        <w:t xml:space="preserve">  - Currency: all fees quoted and payable in USD (per enterprise subscription agreement)</w:t>
      </w:r>
    </w:p>
    <w:p>
      <w:pPr>
        <w:spacing w:before="0" w:after="20"/>
      </w:pPr>
      <w:r>
        <w:rPr>
          <w:sz w:val="20"/>
        </w:rPr>
        <w:t xml:space="preserve">  - Marketplace channels: Azure Marketplace and AWS Marketplace (separate payment flows per marketplace)</w:t>
      </w:r>
    </w:p>
    <w:p>
      <w:pPr>
        <w:spacing w:before="0" w:after="20"/>
      </w:pPr>
      <w:r>
        <w:rPr>
          <w:sz w:val="20"/>
        </w:rPr>
        <w:t xml:space="preserve">  - Credit card processing: uses third-party credit card processing company (specific processor not disclosed)</w:t>
      </w:r>
    </w:p>
    <w:p>
      <w:pPr>
        <w:spacing w:before="0" w:after="20"/>
      </w:pPr>
      <w:r>
        <w:rPr>
          <w:sz w:val="20"/>
        </w:rPr>
        <w:t xml:space="preserve">  - No payment orchestrator detected</w:t>
      </w:r>
    </w:p>
    <w:p>
      <w:pPr>
        <w:spacing w:before="0" w:after="20"/>
      </w:pPr>
      <w:r>
        <w:rPr>
          <w:sz w:val="20"/>
        </w:rPr>
        <w:t xml:space="preserve">  - No multi-currency billing capability documented</w:t>
      </w:r>
    </w:p>
    <w:p>
      <w:r>
        <w:rPr>
          <w:i/>
          <w:sz w:val="18"/>
        </w:rPr>
        <w:t>Key Enterprise Customers:</w:t>
      </w:r>
    </w:p>
    <w:p>
      <w:pPr>
        <w:spacing w:before="0" w:after="20"/>
      </w:pPr>
      <w:r>
        <w:rPr>
          <w:sz w:val="20"/>
        </w:rPr>
        <w:t xml:space="preserve">  - Siemens Energy: global VDI transformation across 90 countries, 94,000 employees, on Google Cloud</w:t>
      </w:r>
    </w:p>
    <w:p>
      <w:pPr>
        <w:spacing w:before="0" w:after="20"/>
      </w:pPr>
      <w:r>
        <w:rPr>
          <w:sz w:val="20"/>
        </w:rPr>
        <w:t xml:space="preserve">  - Hyundai: automotive manufacturing cloud desktop deployment</w:t>
      </w:r>
    </w:p>
    <w:p>
      <w:pPr>
        <w:spacing w:before="0" w:after="20"/>
      </w:pPr>
      <w:r>
        <w:rPr>
          <w:sz w:val="20"/>
        </w:rPr>
        <w:t xml:space="preserve">  - JBS: world's largest cattle feeder, globetrotting workforce cloud access</w:t>
      </w:r>
    </w:p>
    <w:p>
      <w:pPr>
        <w:spacing w:before="0" w:after="20"/>
      </w:pPr>
      <w:r>
        <w:rPr>
          <w:sz w:val="20"/>
        </w:rPr>
        <w:t xml:space="preserve">  - Teleperformance: global customer experience management</w:t>
      </w:r>
    </w:p>
    <w:p>
      <w:pPr>
        <w:spacing w:before="0" w:after="20"/>
      </w:pPr>
      <w:r>
        <w:rPr>
          <w:sz w:val="20"/>
        </w:rPr>
        <w:t xml:space="preserve">  - Advisor 360: financial services, remote developers</w:t>
      </w:r>
    </w:p>
    <w:p>
      <w:pPr>
        <w:spacing w:before="0" w:after="20"/>
      </w:pPr>
      <w:r>
        <w:rPr>
          <w:sz w:val="20"/>
        </w:rPr>
        <w:t xml:space="preserve">  - Mead &amp; Hunt: engineering firm, 400+ employees, 30+ locations</w:t>
      </w:r>
    </w:p>
    <w:p>
      <w:pPr>
        <w:spacing w:before="0" w:after="20"/>
      </w:pPr>
      <w:r>
        <w:rPr>
          <w:sz w:val="20"/>
        </w:rPr>
        <w:t xml:space="preserve">  - Poyner Spruill: law firm, Azure deployment</w:t>
      </w:r>
    </w:p>
    <w:p>
      <w:pPr>
        <w:spacing w:before="0" w:after="20"/>
      </w:pPr>
      <w:r>
        <w:rPr>
          <w:sz w:val="20"/>
        </w:rPr>
        <w:t xml:space="preserve">  - Houston Eye Associates: healthcare, 29 locations</w:t>
      </w:r>
    </w:p>
    <w:p>
      <w:pPr>
        <w:spacing w:before="0" w:after="20"/>
      </w:pPr>
      <w:r>
        <w:rPr>
          <w:sz w:val="20"/>
        </w:rPr>
        <w:t xml:space="preserve">  - Rohm: manufacturing (German company)</w:t>
      </w:r>
    </w:p>
    <w:p>
      <w:pPr>
        <w:spacing w:before="0" w:after="20"/>
      </w:pPr>
      <w:r>
        <w:rPr>
          <w:sz w:val="20"/>
        </w:rPr>
        <w:t xml:space="preserve">  - Wood Rogers, OHM, Smallwood, Ramaker, Hanson, Dudek, C&amp;S Companies, AGDATA, Hydradyne, Barge Design, Sherwood Design, Moffatt &amp; Nichol, Global Finishing Solutions, Chaitons</w:t>
      </w:r>
    </w:p>
    <w:p>
      <w:r>
        <w:rPr>
          <w:i/>
          <w:sz w:val="18"/>
        </w:rPr>
        <w:t>Top 5 Markets Gap Analysis:</w:t>
      </w:r>
    </w:p>
    <w:p>
      <w:r>
        <w:rPr>
          <w:b/>
          <w:sz w:val="20"/>
        </w:rPr>
        <w:t>MARKET 1: United States (~60% of revenue)</w:t>
      </w:r>
    </w:p>
    <w:p>
      <w:r>
        <w:rPr>
          <w:sz w:val="20"/>
        </w:rPr>
        <w:t xml:space="preserve">  Currently offer: Credit card, invoice (Net 30)</w:t>
      </w:r>
    </w:p>
    <w:p>
      <w:r>
        <w:rPr>
          <w:sz w:val="20"/>
        </w:rPr>
        <w:t xml:space="preserve">  Missing: ACH Direct Debit, wire transfer automation</w:t>
      </w:r>
    </w:p>
    <w:p>
      <w:r>
        <w:rPr>
          <w:sz w:val="20"/>
        </w:rPr>
        <w:t>Enterprise clients spending $100K+ annually on per-user cloud desktop subscriptions prefer ACH. Credit card billing creates procurement friction for large deployments.</w:t>
      </w:r>
    </w:p>
    <w:p>
      <w:r>
        <w:rPr>
          <w:b/>
          <w:sz w:val="20"/>
        </w:rPr>
        <w:t>MARKET 2: Germany / DACH / EU (~15% of revenue)</w:t>
      </w:r>
    </w:p>
    <w:p>
      <w:r>
        <w:rPr>
          <w:sz w:val="20"/>
        </w:rPr>
        <w:t xml:space="preserve">  Currently offer: USD credit card, invoice</w:t>
      </w:r>
    </w:p>
    <w:p>
      <w:r>
        <w:rPr>
          <w:sz w:val="20"/>
        </w:rPr>
        <w:t xml:space="preserve">  Missing: SEPA Direct Debit, Sofort, invoice in EUR</w:t>
      </w:r>
    </w:p>
    <w:p>
      <w:r>
        <w:rPr>
          <w:sz w:val="20"/>
        </w:rPr>
        <w:t>Siemens Energy and Rohm are German-headquartered enterprises. SEPA DD is standard for recurring B2B SaaS billing in Europe. USD-only invoicing adds FX overhead.</w:t>
      </w:r>
    </w:p>
    <w:p>
      <w:r>
        <w:rPr>
          <w:b/>
          <w:sz w:val="20"/>
        </w:rPr>
        <w:t>MARKET 3: United Kingdom (~8% of revenue)</w:t>
      </w:r>
    </w:p>
    <w:p>
      <w:r>
        <w:rPr>
          <w:sz w:val="20"/>
        </w:rPr>
        <w:t xml:space="preserve">  Currently offer: USD credit card, invoice</w:t>
      </w:r>
    </w:p>
    <w:p>
      <w:r>
        <w:rPr>
          <w:sz w:val="20"/>
        </w:rPr>
        <w:t xml:space="preserve">  Missing: BACS Direct Debit, Open Banking, GBP invoicing</w:t>
      </w:r>
    </w:p>
    <w:p>
      <w:r>
        <w:rPr>
          <w:sz w:val="20"/>
        </w:rPr>
        <w:t>UK engineering and professional services firms are a core Workspot vertical. BACS DD is standard for UK enterprise SaaS subscriptions.</w:t>
      </w:r>
    </w:p>
    <w:p>
      <w:r>
        <w:rPr>
          <w:b/>
          <w:sz w:val="20"/>
        </w:rPr>
        <w:t>MARKET 4: Japan / APAC (~8% of revenue)</w:t>
      </w:r>
    </w:p>
    <w:p>
      <w:r>
        <w:rPr>
          <w:sz w:val="20"/>
        </w:rPr>
        <w:t xml:space="preserve">  Currently offer: USD credit card, invoice</w:t>
      </w:r>
    </w:p>
    <w:p>
      <w:r>
        <w:rPr>
          <w:sz w:val="20"/>
        </w:rPr>
        <w:t xml:space="preserve">  Missing: Konbini, bank transfer (furikomi), JCB optimization</w:t>
      </w:r>
    </w:p>
    <w:p>
      <w:r>
        <w:rPr>
          <w:sz w:val="20"/>
        </w:rPr>
        <w:t>Workspot deploys cloud desktops from Azure Japan, Azure India, and Azure Australia regions. Zero local payment methods despite active cloud region presence.</w:t>
      </w:r>
    </w:p>
    <w:p>
      <w:r>
        <w:rPr>
          <w:b/>
          <w:sz w:val="20"/>
        </w:rPr>
        <w:t>MARKET 5: Brazil / LATAM (~5% of revenue)</w:t>
      </w:r>
    </w:p>
    <w:p>
      <w:r>
        <w:rPr>
          <w:sz w:val="20"/>
        </w:rPr>
        <w:t xml:space="preserve">  Currently offer: USD credit card, invoice</w:t>
      </w:r>
    </w:p>
    <w:p>
      <w:r>
        <w:rPr>
          <w:sz w:val="20"/>
        </w:rPr>
        <w:t xml:space="preserve">  Missing: PIX, Boleto, local bank transfer</w:t>
      </w:r>
    </w:p>
    <w:p>
      <w:r>
        <w:rPr>
          <w:sz w:val="20"/>
        </w:rPr>
        <w:t>JBS (Brazilian headquarters) and other LATAM manufacturers represent expanding demand. USD-only billing creates unnecessary barriers for regional enterprise sales.</w:t>
      </w:r>
    </w:p>
    <w:p>
      <w:r>
        <w:rPr>
          <w:i/>
          <w:sz w:val="18"/>
        </w:rPr>
        <w:t>Competitive Landscape:</w:t>
      </w:r>
    </w:p>
    <w:p>
      <w:pPr>
        <w:spacing w:before="0" w:after="20"/>
      </w:pPr>
      <w:r>
        <w:rPr>
          <w:sz w:val="20"/>
        </w:rPr>
        <w:t xml:space="preserve">  - Microsoft Azure Virtual Desktop (AVD): 62% enterprise DaaS adoption, native Azure billing</w:t>
      </w:r>
    </w:p>
    <w:p>
      <w:pPr>
        <w:spacing w:before="0" w:after="20"/>
      </w:pPr>
      <w:r>
        <w:rPr>
          <w:sz w:val="20"/>
        </w:rPr>
        <w:t xml:space="preserve">  - VMware/Omnissa Horizon: legacy VDI, subscription shift causing 300% price hikes</w:t>
      </w:r>
    </w:p>
    <w:p>
      <w:pPr>
        <w:spacing w:before="0" w:after="20"/>
      </w:pPr>
      <w:r>
        <w:rPr>
          <w:sz w:val="20"/>
        </w:rPr>
        <w:t xml:space="preserve">  - Citrix DaaS: mature HDX protocol, premium pricing, complex licensing</w:t>
      </w:r>
    </w:p>
    <w:p>
      <w:pPr>
        <w:spacing w:before="0" w:after="20"/>
      </w:pPr>
      <w:r>
        <w:rPr>
          <w:sz w:val="20"/>
        </w:rPr>
        <w:t xml:space="preserve">  - Amazon WorkSpaces: pay-as-you-go, quick global reach, AWS billing integration</w:t>
      </w:r>
    </w:p>
    <w:p>
      <w:pPr>
        <w:spacing w:before="0" w:after="20"/>
      </w:pPr>
      <w:r>
        <w:rPr>
          <w:sz w:val="20"/>
        </w:rPr>
        <w:t xml:space="preserve">  - Key industry pain: VDI licensing costs surging, legacy platforms underperforming, Teams integration failures</w:t>
      </w:r>
    </w:p>
    <w:p>
      <w:r>
        <w:rPr>
          <w:i/>
          <w:sz w:val="18"/>
        </w:rPr>
        <w:t>Key meeting angles:</w:t>
      </w:r>
    </w:p>
    <w:p>
      <w:r>
        <w:rPr>
          <w:sz w:val="20"/>
        </w:rPr>
        <w:t>1. **Annual renewal risk** | Per-user SaaS billing on contract anniversary creates a single point of failure; one declined charge can suspend cloud desktops for an entire organization</w:t>
      </w:r>
    </w:p>
    <w:p>
      <w:r>
        <w:rPr>
          <w:sz w:val="20"/>
        </w:rPr>
        <w:t>2. **Multi-cloud, single billing rail** | Workspot deploys across Azure, AWS, and Google Cloud globally but bills everything through USD-only credit card or invoice</w:t>
      </w:r>
    </w:p>
    <w:p>
      <w:r>
        <w:rPr>
          <w:sz w:val="20"/>
        </w:rPr>
        <w:t>3. **Global enterprise customers** | Siemens Energy (90 countries), JBS (Brazil HQ), Rohm (Germany), Hyundai (Korea) all pay in USD despite operating in local currency markets</w:t>
      </w:r>
    </w:p>
    <w:p>
      <w:r>
        <w:rPr>
          <w:sz w:val="20"/>
        </w:rPr>
        <w:t>4. **Marketplace fragmentation** | Revenue flowing through Azure Marketplace, AWS Marketplace, and direct contracts requires three separate reconciliation workflows</w:t>
      </w:r>
    </w:p>
    <w:p>
      <w:r>
        <w:rPr>
          <w:sz w:val="20"/>
        </w:rPr>
        <w:t>5. **Venture-backed growth stage** | $106M raised through Series E; optimizing payment costs and reducing involuntary churn directly impacts unit economics and path to profitability</w:t>
      </w:r>
    </w:p>
    <w:p>
      <w:r>
        <w:rPr>
          <w:sz w:val="20"/>
        </w:rPr>
        <w:t>6. **VDI market disruption** | As Citrix and VMware face pricing backlash, Workspot is winning enterprise migrations; payment infrastructure must scale with customer acquisition</w:t>
      </w:r>
    </w:p>
    <w:p>
      <w:r>
        <w:rPr>
          <w:i/>
          <w:sz w:val="18"/>
        </w:rPr>
        <w:t>Sources:</w:t>
      </w:r>
    </w:p>
    <w:p>
      <w:pPr>
        <w:spacing w:before="0" w:after="0"/>
      </w:pPr>
      <w:r>
        <w:rPr>
          <w:sz w:val="18"/>
        </w:rPr>
        <w:t xml:space="preserve">  - Workspot Homepage: https://www.workspot.com/</w:t>
      </w:r>
    </w:p>
    <w:p>
      <w:pPr>
        <w:spacing w:before="0" w:after="0"/>
      </w:pPr>
      <w:r>
        <w:rPr>
          <w:sz w:val="18"/>
        </w:rPr>
        <w:t xml:space="preserve">  - Workspot Enterprise Subscription Agreement: https://www.workspot.com/legal/workspot-enterprise-subscription-agreement/</w:t>
      </w:r>
    </w:p>
    <w:p>
      <w:pPr>
        <w:spacing w:before="0" w:after="0"/>
      </w:pPr>
      <w:r>
        <w:rPr>
          <w:sz w:val="18"/>
        </w:rPr>
        <w:t xml:space="preserve">  - Workspot Privacy Policy: https://www.workspot.com/legal/privacy-policy/</w:t>
      </w:r>
    </w:p>
    <w:p>
      <w:pPr>
        <w:spacing w:before="0" w:after="0"/>
      </w:pPr>
      <w:r>
        <w:rPr>
          <w:sz w:val="18"/>
        </w:rPr>
        <w:t xml:space="preserve">  - Workspot Customers: https://www.workspot.com/customers/</w:t>
      </w:r>
    </w:p>
    <w:p>
      <w:pPr>
        <w:spacing w:before="0" w:after="0"/>
      </w:pPr>
      <w:r>
        <w:rPr>
          <w:sz w:val="18"/>
        </w:rPr>
        <w:t xml:space="preserve">  - Workspot Company Page: https://www.workspot.com/company/</w:t>
      </w:r>
    </w:p>
    <w:p>
      <w:pPr>
        <w:spacing w:before="0" w:after="0"/>
      </w:pPr>
      <w:r>
        <w:rPr>
          <w:sz w:val="18"/>
        </w:rPr>
        <w:t xml:space="preserve">  - Workspot Per-User Licensing Model: https://docs.workspot.com/docs/per-user-licensing-model-enterprise-and-enterprise-plus</w:t>
      </w:r>
    </w:p>
    <w:p>
      <w:pPr>
        <w:spacing w:before="0" w:after="0"/>
      </w:pPr>
      <w:r>
        <w:rPr>
          <w:sz w:val="18"/>
        </w:rPr>
        <w:t xml:space="preserve">  - Workspot Global Desktops Overview: https://docs.workspot.com/docs/workspot-global-desktops-overview</w:t>
      </w:r>
    </w:p>
    <w:p>
      <w:pPr>
        <w:spacing w:before="0" w:after="0"/>
      </w:pPr>
      <w:r>
        <w:rPr>
          <w:sz w:val="18"/>
        </w:rPr>
        <w:t xml:space="preserve">  - Siemens Energy x Workspot Press Release: https://www.workspot.com/press/siemens-energy-chooses-workspot-and-google-cloud-for-global-vdi-transformation/</w:t>
      </w:r>
    </w:p>
    <w:p>
      <w:pPr>
        <w:spacing w:before="0" w:after="0"/>
      </w:pPr>
      <w:r>
        <w:rPr>
          <w:sz w:val="18"/>
        </w:rPr>
        <w:t xml:space="preserve">  - Workspot on Azure Marketplace: https://marketplace.microsoft.com/en-us/product/saas/workspot.sol-19199-uli</w:t>
      </w:r>
    </w:p>
    <w:p>
      <w:pPr>
        <w:spacing w:before="0" w:after="0"/>
      </w:pPr>
      <w:r>
        <w:rPr>
          <w:sz w:val="18"/>
        </w:rPr>
        <w:t xml:space="preserve">  - Workspot Case Study (Google Cloud): https://cloud.google.com/customers/workspot</w:t>
      </w:r>
    </w:p>
    <w:p>
      <w:pPr>
        <w:spacing w:before="0" w:after="0"/>
      </w:pPr>
      <w:r>
        <w:rPr>
          <w:sz w:val="18"/>
        </w:rPr>
        <w:t xml:space="preserve">  - Workspot Crunchbase: https://www.crunchbase.com/organization/workspot</w:t>
      </w:r>
    </w:p>
    <w:p>
      <w:pPr>
        <w:spacing w:before="0" w:after="0"/>
      </w:pPr>
      <w:r>
        <w:rPr>
          <w:sz w:val="18"/>
        </w:rPr>
        <w:t xml:space="preserve">  - Workspot ZoomInfo: https://www.zoominfo.com/c/workspot-inc/347226504</w:t>
      </w:r>
    </w:p>
    <w:p>
      <w:pPr>
        <w:spacing w:before="0" w:after="0"/>
      </w:pPr>
      <w:r>
        <w:rPr>
          <w:sz w:val="18"/>
        </w:rPr>
        <w:t xml:space="preserve">  - Workspot CBInsights: https://www.cbinsights.com/company/workspot</w:t>
      </w:r>
    </w:p>
    <w:p>
      <w:pPr>
        <w:spacing w:before="0" w:after="0"/>
      </w:pPr>
      <w:r>
        <w:rPr>
          <w:sz w:val="18"/>
        </w:rPr>
        <w:t xml:space="preserve">  - Workspot Capterra: https://www.capterra.com/p/195242/Workspot/</w:t>
      </w:r>
    </w:p>
    <w:p>
      <w:pPr>
        <w:spacing w:before="0" w:after="0"/>
      </w:pPr>
      <w:r>
        <w:rPr>
          <w:sz w:val="18"/>
        </w:rPr>
        <w:t xml:space="preserve">  - Workspot G2 Reviews: https://www.g2.com/products/workspot-enterprise-desktop-cloud/reviews</w:t>
      </w:r>
    </w:p>
    <w:p>
      <w:pPr>
        <w:spacing w:before="0" w:after="0"/>
      </w:pPr>
      <w:r>
        <w:rPr>
          <w:sz w:val="18"/>
        </w:rPr>
        <w:t xml:space="preserve">  - Brandfetch: Workspot Logo: https://brandfetch.com/workspot.com</w:t>
      </w:r>
    </w:p>
    <w:p>
      <w:pPr>
        <w:spacing w:before="0" w:after="0"/>
      </w:pPr>
      <w:r>
        <w:rPr>
          <w:sz w:val="18"/>
        </w:rPr>
        <w:t xml:space="preserve">  - VDI Market 2025 Buyer's Guide (IronOrbit): https://www.ironorbit.com/vdi-solution-providers-2025-guide/</w:t>
      </w:r>
    </w:p>
    <w:p>
      <w:pPr>
        <w:spacing w:before="0" w:after="0"/>
      </w:pPr>
      <w:r>
        <w:rPr>
          <w:sz w:val="18"/>
        </w:rPr>
        <w:t xml:space="preserve">  - Citrix Alternatives 2026 (CheckThat): https://checkthat.ai/brands/citrix/alternatives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