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5B4CFF"/>
        </w:rPr>
        <w:t>CARE.COM | Stripe Sessions Research</w:t>
      </w:r>
    </w:p>
    <w:p>
      <w:r>
        <w:rPr>
          <w:i/>
        </w:rPr>
        <w:t>Generated: 2026-04-21</w:t>
      </w:r>
    </w:p>
    <w:p>
      <w:pPr>
        <w:pStyle w:val="Heading2"/>
      </w:pPr>
      <w:r>
        <w:rPr>
          <w:rFonts w:ascii="Calibri" w:hAnsi="Calibri"/>
          <w:color w:val="5B4CFF"/>
        </w:rPr>
        <w:t>DATABASE FIELDS: Care.com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Logo: </w:t>
      </w:r>
      <w:r>
        <w:rPr>
          <w:rFonts w:ascii="Calibri" w:hAnsi="Calibri"/>
          <w:sz w:val="20"/>
        </w:rPr>
        <w:t>https://upload.wikimedia.org/wikipedia/commons/3/3f/Care.com_Logo.svg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Nombre merchant: </w:t>
      </w:r>
      <w:r>
        <w:rPr>
          <w:rFonts w:ascii="Calibri" w:hAnsi="Calibri"/>
          <w:sz w:val="20"/>
        </w:rPr>
        <w:t>Care.com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SLIDE 1: PAIN POINTS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Tittle_Pain Point_1: </w:t>
      </w:r>
      <w:r>
        <w:rPr>
          <w:rFonts w:ascii="Calibri" w:hAnsi="Calibri"/>
          <w:sz w:val="20"/>
        </w:rPr>
        <w:t>FTC Fined $8.5M for Billing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FTC fined Care.com $8.5M for deceptive subscription billing. 194,207 consumers received refunds. Cancellation flows designed to impede users. 73% of Trustpilot reviews are 1 star. Billing trust is broken.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Tittle_Pain Point_2: </w:t>
      </w:r>
      <w:r>
        <w:rPr>
          <w:rFonts w:ascii="Calibri" w:hAnsi="Calibri"/>
          <w:sz w:val="20"/>
        </w:rPr>
        <w:t>16 Countries, Cards Only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Care.com operates in 16+ countries (US, Canada, UK, Germany, France, Nordics, Benelux, ANZ) but only accepts Visa, Mastercard, Amex, Discover. No local European APMs despite major EU presence.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Tittle_Pain Point_3: </w:t>
      </w:r>
      <w:r>
        <w:rPr>
          <w:rFonts w:ascii="Calibri" w:hAnsi="Calibri"/>
          <w:sz w:val="20"/>
        </w:rPr>
        <w:t>Subscription Churn Crisis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Subscription model with monthly, quarterly, and annual plans. Users report unauthorized charges after cancellation, billing years later. Involuntary churn from failed card payments has no PSP level retry logic.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Tittle_Pain Point_4: </w:t>
      </w:r>
      <w:r>
        <w:rPr>
          <w:rFonts w:ascii="Calibri" w:hAnsi="Calibri"/>
          <w:sz w:val="20"/>
        </w:rPr>
        <w:t>No PSP Redundancy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No confirmed backup PSP or payment orchestrator. A single processor handles subscriptions across 16+ countries. Any outage halts all recurring billing globally with no cascade or failover path.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Tittle_Pain Point_5: </w:t>
      </w:r>
      <w:r>
        <w:rPr>
          <w:rFonts w:ascii="Calibri" w:hAnsi="Calibri"/>
          <w:sz w:val="20"/>
        </w:rPr>
        <w:t>HomePay Payout Complexity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HomePay processes payroll for nanny/caregiver employers across tax jurisdictions. Payroll tax calculations, direct deposits, and compliance across US states add reconciliation layers with no unified payment dashboard.</w:t>
      </w:r>
    </w:p>
    <w:p>
      <w:pPr>
        <w:pStyle w:val="Heading2"/>
      </w:pPr>
      <w:r>
        <w:rPr>
          <w:rFonts w:ascii="Calibri" w:hAnsi="Calibri"/>
          <w:color w:val="5B4CFF"/>
        </w:rPr>
        <w:t>SLIDE 1: PSP TOPOLOGY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PSP_1: </w:t>
      </w:r>
      <w:r>
        <w:rPr>
          <w:rFonts w:ascii="Calibri" w:hAnsi="Calibri"/>
          <w:sz w:val="20"/>
        </w:rPr>
        <w:t>Stripe [INFERENCE]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PSP_2: </w:t>
      </w:r>
      <w:r>
        <w:rPr>
          <w:rFonts w:ascii="Calibri" w:hAnsi="Calibri"/>
          <w:sz w:val="20"/>
        </w:rPr>
        <w:t>N/A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PSP_3: </w:t>
      </w:r>
      <w:r>
        <w:rPr>
          <w:rFonts w:ascii="Calibri" w:hAnsi="Calibri"/>
          <w:sz w:val="20"/>
        </w:rPr>
        <w:t>N/A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PSP_4: </w:t>
      </w:r>
      <w:r>
        <w:rPr>
          <w:rFonts w:ascii="Calibri" w:hAnsi="Calibri"/>
          <w:sz w:val="20"/>
        </w:rPr>
        <w:t>N/A</w:t>
      </w:r>
    </w:p>
    <w:p>
      <w:pPr>
        <w:pStyle w:val="Heading2"/>
      </w:pPr>
      <w:r>
        <w:rPr>
          <w:rFonts w:ascii="Calibri" w:hAnsi="Calibri"/>
          <w:color w:val="5B4CFF"/>
        </w:rPr>
        <w:t>SLIDE 1: MISSING LOCAL METHODS (BLIND SPOTS)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Local_M_1: </w:t>
      </w:r>
      <w:r>
        <w:rPr>
          <w:rFonts w:ascii="Calibri" w:hAnsi="Calibri"/>
          <w:sz w:val="20"/>
        </w:rPr>
        <w:t>SEPA Direct Debit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Local_M_2: </w:t>
      </w:r>
      <w:r>
        <w:rPr>
          <w:rFonts w:ascii="Calibri" w:hAnsi="Calibri"/>
          <w:sz w:val="20"/>
        </w:rPr>
        <w:t>iDEAL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Local_M_3: </w:t>
      </w:r>
      <w:r>
        <w:rPr>
          <w:rFonts w:ascii="Calibri" w:hAnsi="Calibri"/>
          <w:sz w:val="20"/>
        </w:rPr>
        <w:t>Bancontact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Local_M_4: </w:t>
      </w:r>
      <w:r>
        <w:rPr>
          <w:rFonts w:ascii="Calibri" w:hAnsi="Calibri"/>
          <w:sz w:val="20"/>
        </w:rPr>
        <w:t>Giropay/EPS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Local_M_5: </w:t>
      </w:r>
      <w:r>
        <w:rPr>
          <w:rFonts w:ascii="Calibri" w:hAnsi="Calibri"/>
          <w:sz w:val="20"/>
        </w:rPr>
        <w:t>Carte Bancaire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Local_M_6: </w:t>
      </w:r>
      <w:r>
        <w:rPr>
          <w:rFonts w:ascii="Calibri" w:hAnsi="Calibri"/>
          <w:sz w:val="20"/>
        </w:rPr>
        <w:t>Open Banking (UK)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Local_M_7: </w:t>
      </w:r>
      <w:r>
        <w:rPr>
          <w:rFonts w:ascii="Calibri" w:hAnsi="Calibri"/>
          <w:sz w:val="20"/>
        </w:rPr>
        <w:t>Swish (Sweden)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Local_M_8: </w:t>
      </w:r>
      <w:r>
        <w:rPr>
          <w:rFonts w:ascii="Calibri" w:hAnsi="Calibri"/>
          <w:sz w:val="20"/>
        </w:rPr>
        <w:t>MobilePay (Denmark)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Local_M_9: </w:t>
      </w:r>
      <w:r>
        <w:rPr>
          <w:rFonts w:ascii="Calibri" w:hAnsi="Calibri"/>
          <w:sz w:val="20"/>
        </w:rPr>
        <w:t>PayPal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Local_M_10: </w:t>
      </w:r>
      <w:r>
        <w:rPr>
          <w:rFonts w:ascii="Calibri" w:hAnsi="Calibri"/>
          <w:sz w:val="20"/>
        </w:rPr>
        <w:t>Apple Pay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SLIDE 2: YUNO CAPABILITIES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Tittle_Yuno_Cap1: </w:t>
      </w:r>
      <w:r>
        <w:rPr>
          <w:rFonts w:ascii="Calibri" w:hAnsi="Calibri"/>
          <w:sz w:val="20"/>
        </w:rPr>
        <w:t>Smart Subscription Routing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Route each Care.com subscription renewal across the best performing processor for that card BIN, issuer, and country. Failed renewals automatically cascade to backup PSPs. Livelo (subscriptions, Brazil) achieved +5% approval and 50% recovery in under 3 months with Yuno.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Tittle_Yuno_Cap2: </w:t>
      </w:r>
      <w:r>
        <w:rPr>
          <w:rFonts w:ascii="Calibri" w:hAnsi="Calibri"/>
          <w:sz w:val="20"/>
        </w:rPr>
        <w:t>NOVA AI Recovery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NOVA AI agents recover failed subscription payments via email and WhatsApp with up to 75% recovery rate. For Care.com's subscription model across 16+ countries, NOVA prevents involuntary churn before it becomes a cancellation or FTC complaint.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Tittle_Yuno_Cap3: </w:t>
      </w:r>
      <w:r>
        <w:rPr>
          <w:rFonts w:ascii="Calibri" w:hAnsi="Calibri"/>
          <w:sz w:val="20"/>
        </w:rPr>
        <w:t>Pan European APM Activation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Activate iDEAL, SEPA, Bancontact, Carte Bancaire, Swish, MobilePay, and Open Banking via one API across all 16+ Care.com markets. 1,000+ payment methods, no engineering sprints per country. InDrive scaled 10 markets in under 8 months with 90% approval.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Tittle_Yuno_Cap4: </w:t>
      </w:r>
      <w:r>
        <w:rPr>
          <w:rFonts w:ascii="Calibri" w:hAnsi="Calibri"/>
          <w:sz w:val="20"/>
        </w:rPr>
        <w:t>Unified Billing Dashboard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One dashboard reconciling Care.com subscriptions, HomePay payroll, and enterprise billing across all markets. Rappi (20+ PSPs) cut analyst time by 80% with Yuno. Reconciliation reduction up to 90%. Single source of truth for every transaction.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RESEARCH BACKING</w:t>
      </w:r>
    </w:p>
    <w:p>
      <w:r>
        <w:t>Care.com at a glance: HQ Dallas, TX. CEO: Brad E. Wilson. CTO: Amit Goyal (March 2024). FY2025 Revenue: $347M. Acquired by IAC 2020 for $500M, sold to Pacific Avenue Capital Partners March 2026 for $320M. Operations in 16+ countries. Enterprise clients: Google, Facebook, Starbucks, BestBuy. FTC fined $8.5M for deceptive subscription billing (August 2024). 194,207 consumers refunded.</w:t>
      </w:r>
    </w:p>
    <w:p>
      <w:r>
        <w:t>Confirmed PSPs: No PSP publicly confirmed. Stripe inferred from tech patterns. HomePay: separate payroll processing for caregiver employers. No payment orchestrator detected.</w:t>
      </w:r>
    </w:p>
    <w:p>
      <w:r>
        <w:t>Key complaints: FTC $8.5M settlement, 73% one star Trustpilot reviews, PissedConsumer 1.4 stars, BBB complaints for unauthorized charges and billing after cancellation.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