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  <w:color w:val="5B4CFF"/>
        </w:rPr>
        <w:t>EXPEDIA GROUP | Stripe Sessions Research</w:t>
      </w:r>
    </w:p>
    <w:p>
      <w:r>
        <w:t>Generated: 2026-04-21</w:t>
      </w:r>
    </w:p>
    <w:p>
      <w:pPr>
        <w:pStyle w:val="Heading1"/>
      </w:pPr>
      <w:r>
        <w:rPr>
          <w:rFonts w:ascii="Calibri" w:hAnsi="Calibri"/>
          <w:color w:val="5B4CFF"/>
        </w:rPr>
        <w:t>DATABASE FIELDS: Expedia Group</w:t>
      </w:r>
    </w:p>
    <w:p>
      <w:r>
        <w:rPr>
          <w:rFonts w:ascii="Calibri" w:hAnsi="Calibri"/>
          <w:b/>
          <w:sz w:val="20"/>
        </w:rPr>
        <w:t xml:space="preserve">Logo: </w:t>
      </w:r>
      <w:r>
        <w:rPr>
          <w:rFonts w:ascii="Calibri" w:hAnsi="Calibri"/>
          <w:sz w:val="20"/>
        </w:rPr>
        <w:t>https://companieslogo.com/img/orig/EXPE-afb1e2ef.png</w:t>
      </w:r>
    </w:p>
    <w:p>
      <w:r>
        <w:rPr>
          <w:rFonts w:ascii="Calibri" w:hAnsi="Calibri"/>
          <w:b/>
          <w:sz w:val="20"/>
        </w:rPr>
        <w:t xml:space="preserve">Nombre merchant: </w:t>
      </w:r>
      <w:r>
        <w:rPr>
          <w:rFonts w:ascii="Calibri" w:hAnsi="Calibri"/>
          <w:sz w:val="20"/>
        </w:rPr>
        <w:t>Expedia Group</w:t>
      </w:r>
    </w:p>
    <w:p>
      <w:pPr>
        <w:pStyle w:val="Heading2"/>
      </w:pPr>
      <w:r>
        <w:rPr>
          <w:rFonts w:ascii="Calibri" w:hAnsi="Calibri"/>
          <w:color w:val="5B4CFF"/>
        </w:rPr>
        <w:t>SLIDE 1: PAIN POINTS</w:t>
      </w:r>
    </w:p>
    <w:p>
      <w:pPr>
        <w:shd w:fill="D9D9D9" w:val="clear"/>
      </w:pPr>
      <w:r>
        <w:rPr>
          <w:rFonts w:ascii="Calibri" w:hAnsi="Calibri"/>
          <w:b/>
          <w:sz w:val="20"/>
        </w:rPr>
        <w:t>Tittle_Pain Point_1: Fragmented Brand Stacks</w:t>
      </w:r>
    </w:p>
    <w:p>
      <w:r>
        <w:rPr>
          <w:rFonts w:ascii="Calibri" w:hAnsi="Calibri"/>
          <w:b/>
          <w:sz w:val="20"/>
        </w:rPr>
        <w:t xml:space="preserve">Desc_Pain Point_1: </w:t>
      </w:r>
      <w:r>
        <w:rPr>
          <w:rFonts w:ascii="Calibri" w:hAnsi="Calibri"/>
          <w:sz w:val="20"/>
        </w:rPr>
        <w:t>Six brands (Expedia, Hotels.com, Vrbo, Orbitz, Travelocity, Wotif) on one Adyen backend. 500K daily transactions with no per brand routing.</w:t>
      </w:r>
    </w:p>
    <w:p>
      <w:pPr>
        <w:shd w:fill="D9D9D9" w:val="clear"/>
      </w:pPr>
      <w:r>
        <w:rPr>
          <w:rFonts w:ascii="Calibri" w:hAnsi="Calibri"/>
          <w:b/>
          <w:sz w:val="20"/>
        </w:rPr>
        <w:t>Tittle_Pain Point_2: Cross Border Auth Leakage</w:t>
      </w:r>
    </w:p>
    <w:p>
      <w:r>
        <w:rPr>
          <w:rFonts w:ascii="Calibri" w:hAnsi="Calibri"/>
          <w:b/>
          <w:sz w:val="20"/>
        </w:rPr>
        <w:t xml:space="preserve">Desc_Pain Point_2: </w:t>
      </w:r>
      <w:r>
        <w:rPr>
          <w:rFonts w:ascii="Calibri" w:hAnsi="Calibri"/>
          <w:sz w:val="20"/>
        </w:rPr>
        <w:t>37% of revenue is international on $119.5B gross bookings. Cross border declines run 15 to 25% higher, leaking millions in lost travel bookings.</w:t>
      </w:r>
    </w:p>
    <w:p>
      <w:pPr>
        <w:shd w:fill="D9D9D9" w:val="clear"/>
      </w:pPr>
      <w:r>
        <w:rPr>
          <w:rFonts w:ascii="Calibri" w:hAnsi="Calibri"/>
          <w:b/>
          <w:sz w:val="20"/>
        </w:rPr>
        <w:t>Tittle_Pain Point_3: Local APM Coverage Gaps</w:t>
      </w:r>
    </w:p>
    <w:p>
      <w:r>
        <w:rPr>
          <w:rFonts w:ascii="Calibri" w:hAnsi="Calibri"/>
          <w:b/>
          <w:sz w:val="20"/>
        </w:rPr>
        <w:t xml:space="preserve">Desc_Pain Point_3: </w:t>
      </w:r>
      <w:r>
        <w:rPr>
          <w:rFonts w:ascii="Calibri" w:hAnsi="Calibri"/>
          <w:sz w:val="20"/>
        </w:rPr>
        <w:t>Only cards, PayPal, Apple Pay, Google Pay at global checkout. No Pix in Brazil, no UPI in India, no iDEAL in NL. High value bookings lost.</w:t>
      </w:r>
    </w:p>
    <w:p>
      <w:pPr>
        <w:shd w:fill="D9D9D9" w:val="clear"/>
      </w:pPr>
      <w:r>
        <w:rPr>
          <w:rFonts w:ascii="Calibri" w:hAnsi="Calibri"/>
          <w:b/>
          <w:sz w:val="20"/>
        </w:rPr>
        <w:t>Tittle_Pain Point_4: Single Acquirer Dependency</w:t>
      </w:r>
    </w:p>
    <w:p>
      <w:r>
        <w:rPr>
          <w:rFonts w:ascii="Calibri" w:hAnsi="Calibri"/>
          <w:b/>
          <w:sz w:val="20"/>
        </w:rPr>
        <w:t xml:space="preserve">Desc_Pain Point_4: </w:t>
      </w:r>
      <w:r>
        <w:rPr>
          <w:rFonts w:ascii="Calibri" w:hAnsi="Calibri"/>
          <w:sz w:val="20"/>
        </w:rPr>
        <w:t>Adyen handles all pay ins and pay outs across every brand and region. Zero failover: any Adyen disruption freezes 500K daily transactions.</w:t>
      </w:r>
    </w:p>
    <w:p>
      <w:pPr>
        <w:shd w:fill="D9D9D9" w:val="clear"/>
      </w:pPr>
      <w:r>
        <w:rPr>
          <w:rFonts w:ascii="Calibri" w:hAnsi="Calibri"/>
          <w:b/>
          <w:sz w:val="20"/>
        </w:rPr>
        <w:t>Tittle_Pain Point_5: Reconciliation Drag</w:t>
      </w:r>
    </w:p>
    <w:p>
      <w:r>
        <w:rPr>
          <w:rFonts w:ascii="Calibri" w:hAnsi="Calibri"/>
          <w:b/>
          <w:sz w:val="20"/>
        </w:rPr>
        <w:t xml:space="preserve">Desc_Pain Point_5: </w:t>
      </w:r>
      <w:r>
        <w:rPr>
          <w:rFonts w:ascii="Calibri" w:hAnsi="Calibri"/>
          <w:sz w:val="20"/>
        </w:rPr>
        <w:t>Adyen, Affirm, PayPal, and regional BNPL providers. Multi provider settlement across 6 brands, 70+ countries, multiple currencies compounds ops.</w:t>
      </w:r>
    </w:p>
    <w:p>
      <w:pPr>
        <w:pStyle w:val="Heading2"/>
      </w:pPr>
      <w:r>
        <w:rPr>
          <w:rFonts w:ascii="Calibri" w:hAnsi="Calibri"/>
          <w:color w:val="5B4CFF"/>
        </w:rPr>
        <w:t>SLIDE 1: PSP TOPOLOGY</w:t>
      </w:r>
    </w:p>
    <w:p>
      <w:pPr>
        <w:shd w:fill="D9D9D9" w:val="clear"/>
      </w:pPr>
      <w:r>
        <w:rPr>
          <w:rFonts w:ascii="Calibri" w:hAnsi="Calibri"/>
          <w:b/>
          <w:sz w:val="20"/>
        </w:rPr>
        <w:t>PSP_1: Adyen</w:t>
      </w:r>
    </w:p>
    <w:p>
      <w:pPr>
        <w:shd w:fill="D9D9D9" w:val="clear"/>
      </w:pPr>
      <w:r>
        <w:rPr>
          <w:rFonts w:ascii="Calibri" w:hAnsi="Calibri"/>
          <w:b/>
          <w:sz w:val="20"/>
        </w:rPr>
        <w:t>PSP_2: PayPal</w:t>
      </w:r>
    </w:p>
    <w:p>
      <w:pPr>
        <w:shd w:fill="D9D9D9" w:val="clear"/>
      </w:pPr>
      <w:r>
        <w:rPr>
          <w:rFonts w:ascii="Calibri" w:hAnsi="Calibri"/>
          <w:b/>
          <w:sz w:val="20"/>
        </w:rPr>
        <w:t>PSP_3: Affirm</w:t>
      </w:r>
    </w:p>
    <w:p>
      <w:pPr>
        <w:shd w:fill="D9D9D9" w:val="clear"/>
      </w:pPr>
      <w:r>
        <w:rPr>
          <w:rFonts w:ascii="Calibri" w:hAnsi="Calibri"/>
          <w:b/>
          <w:sz w:val="20"/>
        </w:rPr>
        <w:t>PSP_4: Apple Pay / Google Pay</w:t>
      </w:r>
    </w:p>
    <w:p>
      <w:pPr>
        <w:pStyle w:val="Heading2"/>
      </w:pPr>
      <w:r>
        <w:rPr>
          <w:rFonts w:ascii="Calibri" w:hAnsi="Calibri"/>
          <w:color w:val="5B4CFF"/>
        </w:rPr>
        <w:t>SLIDE 1: MISSING LOCAL METHODS (BLIND SPOTS)</w:t>
      </w:r>
    </w:p>
    <w:p>
      <w:pPr>
        <w:shd w:fill="D9D9D9" w:val="clear"/>
      </w:pPr>
      <w:r>
        <w:rPr>
          <w:rFonts w:ascii="Calibri" w:hAnsi="Calibri"/>
          <w:b w:val="0"/>
          <w:sz w:val="20"/>
        </w:rPr>
        <w:t>Local_M_1: Pix</w:t>
      </w:r>
    </w:p>
    <w:p>
      <w:pPr>
        <w:shd w:fill="D9D9D9" w:val="clear"/>
      </w:pPr>
      <w:r>
        <w:rPr>
          <w:rFonts w:ascii="Calibri" w:hAnsi="Calibri"/>
          <w:b w:val="0"/>
          <w:sz w:val="20"/>
        </w:rPr>
        <w:t>Local_M_2: UPI</w:t>
      </w:r>
    </w:p>
    <w:p>
      <w:pPr>
        <w:shd w:fill="D9D9D9" w:val="clear"/>
      </w:pPr>
      <w:r>
        <w:rPr>
          <w:rFonts w:ascii="Calibri" w:hAnsi="Calibri"/>
          <w:b w:val="0"/>
          <w:sz w:val="20"/>
        </w:rPr>
        <w:t>Local_M_3: iDEAL</w:t>
      </w:r>
    </w:p>
    <w:p>
      <w:pPr>
        <w:shd w:fill="D9D9D9" w:val="clear"/>
      </w:pPr>
      <w:r>
        <w:rPr>
          <w:rFonts w:ascii="Calibri" w:hAnsi="Calibri"/>
          <w:b w:val="0"/>
          <w:sz w:val="20"/>
        </w:rPr>
        <w:t>Local_M_4: BLIK</w:t>
      </w:r>
    </w:p>
    <w:p>
      <w:pPr>
        <w:shd w:fill="D9D9D9" w:val="clear"/>
      </w:pPr>
      <w:r>
        <w:rPr>
          <w:rFonts w:ascii="Calibri" w:hAnsi="Calibri"/>
          <w:b w:val="0"/>
          <w:sz w:val="20"/>
        </w:rPr>
        <w:t>Local_M_5: Konbini</w:t>
      </w:r>
    </w:p>
    <w:p>
      <w:pPr>
        <w:shd w:fill="D9D9D9" w:val="clear"/>
      </w:pPr>
      <w:r>
        <w:rPr>
          <w:rFonts w:ascii="Calibri" w:hAnsi="Calibri"/>
          <w:b w:val="0"/>
          <w:sz w:val="20"/>
        </w:rPr>
        <w:t>Local_M_6: KakaoPay</w:t>
      </w:r>
    </w:p>
    <w:p>
      <w:pPr>
        <w:shd w:fill="D9D9D9" w:val="clear"/>
      </w:pPr>
      <w:r>
        <w:rPr>
          <w:rFonts w:ascii="Calibri" w:hAnsi="Calibri"/>
          <w:b w:val="0"/>
          <w:sz w:val="20"/>
        </w:rPr>
        <w:t>Local_M_7: OXXO</w:t>
      </w:r>
    </w:p>
    <w:p>
      <w:pPr>
        <w:shd w:fill="D9D9D9" w:val="clear"/>
      </w:pPr>
      <w:r>
        <w:rPr>
          <w:rFonts w:ascii="Calibri" w:hAnsi="Calibri"/>
          <w:b w:val="0"/>
          <w:sz w:val="20"/>
        </w:rPr>
        <w:t>Local_M_8: Boleto</w:t>
      </w:r>
    </w:p>
    <w:p>
      <w:pPr>
        <w:shd w:fill="D9D9D9" w:val="clear"/>
      </w:pPr>
      <w:r>
        <w:rPr>
          <w:rFonts w:ascii="Calibri" w:hAnsi="Calibri"/>
          <w:b w:val="0"/>
          <w:sz w:val="20"/>
        </w:rPr>
        <w:t>Local_M_9: GCash</w:t>
      </w:r>
    </w:p>
    <w:p>
      <w:pPr>
        <w:shd w:fill="D9D9D9" w:val="clear"/>
      </w:pPr>
      <w:r>
        <w:rPr>
          <w:rFonts w:ascii="Calibri" w:hAnsi="Calibri"/>
          <w:b w:val="0"/>
          <w:sz w:val="20"/>
        </w:rPr>
        <w:t>Local_M_10: PromptPay</w:t>
      </w:r>
    </w:p>
    <w:p>
      <w:r>
        <w:br w:type="page"/>
      </w:r>
    </w:p>
    <w:p>
      <w:pPr>
        <w:pStyle w:val="Heading2"/>
      </w:pPr>
      <w:r>
        <w:rPr>
          <w:rFonts w:ascii="Calibri" w:hAnsi="Calibri"/>
          <w:color w:val="5B4CFF"/>
        </w:rPr>
        <w:t>SLIDE 2: YUNO CAPABILITIES</w:t>
      </w:r>
    </w:p>
    <w:p>
      <w:pPr>
        <w:shd w:fill="D9D9D9" w:val="clear"/>
      </w:pPr>
      <w:r>
        <w:rPr>
          <w:rFonts w:ascii="Calibri" w:hAnsi="Calibri"/>
          <w:b/>
          <w:sz w:val="20"/>
        </w:rPr>
        <w:t>Tittle_Yuno_Cap1: Smart Routing</w:t>
      </w:r>
    </w:p>
    <w:p>
      <w:r>
        <w:rPr>
          <w:rFonts w:ascii="Calibri" w:hAnsi="Calibri"/>
          <w:b/>
          <w:sz w:val="20"/>
        </w:rPr>
        <w:t xml:space="preserve">Desc_Yuno_Cap1: </w:t>
      </w:r>
      <w:r>
        <w:rPr>
          <w:rFonts w:ascii="Calibri" w:hAnsi="Calibri"/>
          <w:sz w:val="20"/>
        </w:rPr>
        <w:t>Route each of Expedia's 500K daily transactions to the optimal acquirer by card BIN, issuer, currency, and booking value. With $119.5B in gross bookings and 37% international revenue, even 3% auth uplift recovers hundreds of millions in completed travel bookings annually.</w:t>
      </w:r>
    </w:p>
    <w:p>
      <w:pPr>
        <w:shd w:fill="D9D9D9" w:val="clear"/>
      </w:pPr>
      <w:r>
        <w:rPr>
          <w:rFonts w:ascii="Calibri" w:hAnsi="Calibri"/>
          <w:b/>
          <w:sz w:val="20"/>
        </w:rPr>
        <w:t>Tittle_Yuno_Cap2: Failover &amp; Retries</w:t>
      </w:r>
    </w:p>
    <w:p>
      <w:r>
        <w:rPr>
          <w:rFonts w:ascii="Calibri" w:hAnsi="Calibri"/>
          <w:b/>
          <w:sz w:val="20"/>
        </w:rPr>
        <w:t xml:space="preserve">Desc_Yuno_Cap2: </w:t>
      </w:r>
      <w:r>
        <w:rPr>
          <w:rFonts w:ascii="Calibri" w:hAnsi="Calibri"/>
          <w:sz w:val="20"/>
        </w:rPr>
        <w:t>Eliminate Adyen single acquirer risk across all 6 consumer brands. When Adyen declines or lags, Yuno cascades to the next best processor in milliseconds. Up to 50% recovery on soft declines, protecting high AOV travel bookings ($200+ average).</w:t>
      </w:r>
    </w:p>
    <w:p>
      <w:pPr>
        <w:shd w:fill="D9D9D9" w:val="clear"/>
      </w:pPr>
      <w:r>
        <w:rPr>
          <w:rFonts w:ascii="Calibri" w:hAnsi="Calibri"/>
          <w:b/>
          <w:sz w:val="20"/>
        </w:rPr>
        <w:t>Tittle_Yuno_Cap3: Local Payment Methods</w:t>
      </w:r>
    </w:p>
    <w:p>
      <w:r>
        <w:rPr>
          <w:rFonts w:ascii="Calibri" w:hAnsi="Calibri"/>
          <w:b/>
          <w:sz w:val="20"/>
        </w:rPr>
        <w:t xml:space="preserve">Desc_Yuno_Cap3: </w:t>
      </w:r>
      <w:r>
        <w:rPr>
          <w:rFonts w:ascii="Calibri" w:hAnsi="Calibri"/>
          <w:sz w:val="20"/>
        </w:rPr>
        <w:t>Activate APMs travelers demand: Pix in Brazil, UPI in India, iDEAL in Netherlands, Konbini in Japan, KakaoPay in Korea, OXXO in Mexico. One API, 1,000+ methods across 200+ countries. Deploy per market in weeks, not quarters of engineering work.</w:t>
      </w:r>
    </w:p>
    <w:p>
      <w:pPr>
        <w:shd w:fill="D9D9D9" w:val="clear"/>
      </w:pPr>
      <w:r>
        <w:rPr>
          <w:rFonts w:ascii="Calibri" w:hAnsi="Calibri"/>
          <w:b/>
          <w:sz w:val="20"/>
        </w:rPr>
        <w:t>Tittle_Yuno_Cap4: Unified Orchestration</w:t>
      </w:r>
    </w:p>
    <w:p>
      <w:r>
        <w:rPr>
          <w:rFonts w:ascii="Calibri" w:hAnsi="Calibri"/>
          <w:b/>
          <w:sz w:val="20"/>
        </w:rPr>
        <w:t xml:space="preserve">Desc_Yuno_Cap4: </w:t>
      </w:r>
      <w:r>
        <w:rPr>
          <w:rFonts w:ascii="Calibri" w:hAnsi="Calibri"/>
          <w:sz w:val="20"/>
        </w:rPr>
        <w:t>One dashboard unifying Adyen, PayPal, Affirm, and regional providers across Expedia, Hotels.com, Vrbo, Orbitz, and more. Real time approval monitoring per brand, centralized reconciliation, millisecond anomaly detection. Up to 90% reconciliation reduction.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5B4CFF"/>
        </w:rPr>
        <w:t>RESEARCH BACKING | Key Facts for the Meeting</w:t>
      </w:r>
    </w:p>
    <w:p>
      <w:pPr>
        <w:pStyle w:val="Heading2"/>
      </w:pPr>
      <w:r>
        <w:rPr>
          <w:rFonts w:ascii="Calibri" w:hAnsi="Calibri"/>
          <w:color w:val="5B4CFF"/>
        </w:rPr>
        <w:t>Expedia Group at a glance</w:t>
      </w:r>
    </w:p>
    <w:p>
      <w:pPr>
        <w:pStyle w:val="ListBullet"/>
      </w:pPr>
      <w:r>
        <w:t>Brands: Expedia, Hotels.com, Vrbo (41.5% of sales), Orbitz, Travelocity, Wotif, ebookers, Hotwire</w:t>
      </w:r>
    </w:p>
    <w:p>
      <w:pPr>
        <w:pStyle w:val="ListBullet"/>
      </w:pPr>
      <w:r>
        <w:t>FY2024 Revenue: $13.6B (up 6.7% YoY). FY2025 Revenue: $14.7B (up 7.6% YoY)</w:t>
      </w:r>
    </w:p>
    <w:p>
      <w:pPr>
        <w:pStyle w:val="ListBullet"/>
      </w:pPr>
      <w:r>
        <w:t>FY2024 Gross Bookings: $110.9B. FY2025 Gross Bookings: $119.6B</w:t>
      </w:r>
    </w:p>
    <w:p>
      <w:pPr>
        <w:pStyle w:val="ListBullet"/>
      </w:pPr>
      <w:r>
        <w:t>FY2025 Booked Room Nights: 415.4M. 500K+ transactions per day</w:t>
      </w:r>
    </w:p>
    <w:p>
      <w:pPr>
        <w:pStyle w:val="ListBullet"/>
      </w:pPr>
      <w:r>
        <w:t>Revenue split: ~63% US, ~37% international (international growing 15% vs US 4%)</w:t>
      </w:r>
    </w:p>
    <w:p>
      <w:pPr>
        <w:pStyle w:val="ListBullet"/>
      </w:pPr>
      <w:r>
        <w:t>CEO: Ariane Gorin. CTO: Ramana Thumu. VP Global Payments: Jing Yang</w:t>
      </w:r>
    </w:p>
    <w:p>
      <w:pPr>
        <w:pStyle w:val="ListBullet"/>
      </w:pPr>
      <w:r>
        <w:t>Tech and content spend: $3B+ annually</w:t>
      </w:r>
    </w:p>
    <w:p>
      <w:pPr>
        <w:pStyle w:val="Heading2"/>
      </w:pPr>
      <w:r>
        <w:rPr>
          <w:rFonts w:ascii="Calibri" w:hAnsi="Calibri"/>
          <w:color w:val="5B4CFF"/>
        </w:rPr>
        <w:t>Confirmed PSPs</w:t>
      </w:r>
    </w:p>
    <w:p>
      <w:pPr>
        <w:pStyle w:val="ListBullet"/>
      </w:pPr>
      <w:r>
        <w:t>Adyen: primary acquirer and processor, pay ins and pay outs (Intelligent Money Movement)</w:t>
      </w:r>
    </w:p>
    <w:p>
      <w:pPr>
        <w:pStyle w:val="ListBullet"/>
      </w:pPr>
      <w:r>
        <w:t>PayPal: accepted at checkout across brands</w:t>
      </w:r>
    </w:p>
    <w:p>
      <w:pPr>
        <w:pStyle w:val="ListBullet"/>
      </w:pPr>
      <w:r>
        <w:t>Affirm: exclusive US BNPL provider (multi year deal, Jan 2026)</w:t>
      </w:r>
    </w:p>
    <w:p>
      <w:pPr>
        <w:pStyle w:val="ListBullet"/>
      </w:pPr>
      <w:r>
        <w:t>Apple Pay / Google Pay: digital wallets on mobile</w:t>
      </w:r>
    </w:p>
    <w:p>
      <w:pPr>
        <w:pStyle w:val="ListBullet"/>
      </w:pPr>
      <w:r>
        <w:t>FPX (Malaysia), online banking (Thailand): select APAC local methods via Adyen</w:t>
      </w:r>
    </w:p>
    <w:p>
      <w:pPr>
        <w:pStyle w:val="ListBullet"/>
      </w:pPr>
      <w:r>
        <w:t>No payment orchestrator detected</w:t>
      </w:r>
    </w:p>
    <w:p>
      <w:pPr>
        <w:pStyle w:val="Heading2"/>
      </w:pPr>
      <w:r>
        <w:rPr>
          <w:rFonts w:ascii="Calibri" w:hAnsi="Calibri"/>
          <w:color w:val="5B4CFF"/>
        </w:rPr>
        <w:t>Key Meeting Angles</w:t>
      </w:r>
    </w:p>
    <w:p>
      <w:pPr>
        <w:pStyle w:val="ListBullet"/>
      </w:pPr>
      <w:r>
        <w:t>$119.5B bookings, one acquirer: All gross bookings flow through Adyen with zero failover</w:t>
      </w:r>
    </w:p>
    <w:p>
      <w:pPr>
        <w:pStyle w:val="ListBullet"/>
      </w:pPr>
      <w:r>
        <w:t>International revenue growing 4x faster: 15% international vs 4% US growth</w:t>
      </w:r>
    </w:p>
    <w:p>
      <w:pPr>
        <w:pStyle w:val="ListBullet"/>
      </w:pPr>
      <w:r>
        <w:t>Payments leader from Amazon: Jing Yang understands multi PSP orchestration</w:t>
      </w:r>
    </w:p>
    <w:p>
      <w:pPr>
        <w:pStyle w:val="ListBullet"/>
      </w:pPr>
      <w:r>
        <w:t>BNPL fragmentation: Affirm exclusive in US, no BNPL in APAC, LATAM, most of EMEA</w:t>
      </w:r>
    </w:p>
    <w:p>
      <w:pPr>
        <w:pStyle w:val="ListBullet"/>
      </w:pPr>
      <w:r>
        <w:t>High AOV = high recovery value: Travel bookings average $200+</w:t>
      </w:r>
    </w:p>
    <w:p>
      <w:pPr>
        <w:pStyle w:val="ListBullet"/>
      </w:pPr>
      <w:r>
        <w:t>B2B white label growing 26%: Partners need localized payment methods too</w:t>
      </w:r>
    </w:p>
    <w:p>
      <w:pPr>
        <w:pStyle w:val="ListBullet"/>
      </w:pPr>
      <w:r>
        <w:t>Competitor gap: Booking Holdings has deeper local APM coverage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