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i w:val="0"/>
          <w:color w:val="5B4CFF"/>
          <w:sz w:val="32"/>
        </w:rPr>
        <w:t>LULULEMON ATHLETICA | Stripe Sessions Research (SS Database Format)</w:t>
      </w:r>
    </w:p>
    <w:p>
      <w:pPr>
        <w:spacing w:after="240"/>
      </w:pPr>
      <w:r>
        <w:rPr>
          <w:rFonts w:ascii="Calibri" w:hAnsi="Calibri"/>
          <w:b w:val="0"/>
          <w:i/>
          <w:color w:val="999999"/>
          <w:sz w:val="20"/>
        </w:rPr>
        <w:t>Generated: 2026-04-21</w:t>
      </w:r>
    </w:p>
    <w:p>
      <w:pPr>
        <w:spacing w:before="80" w:after="80"/>
      </w:pPr>
      <w:r>
        <w:rPr>
          <w:rFonts w:ascii="Calibri" w:hAnsi="Calibri"/>
          <w:b/>
          <w:i w:val="0"/>
          <w:sz w:val="20"/>
        </w:rPr>
        <w:t>═══════════════════════════════════════</w:t>
      </w:r>
    </w:p>
    <w:p>
      <w:pPr>
        <w:spacing w:before="40" w:after="40"/>
      </w:pPr>
      <w:r>
        <w:rPr>
          <w:rFonts w:ascii="Calibri" w:hAnsi="Calibri"/>
          <w:b/>
          <w:i w:val="0"/>
          <w:color w:val="5B4CFF"/>
          <w:sz w:val="28"/>
        </w:rPr>
        <w:t>DATABASE FIELDS: Lululemon Athletica</w:t>
      </w:r>
    </w:p>
    <w:p>
      <w:pPr>
        <w:spacing w:before="80" w:after="80"/>
      </w:pPr>
      <w:r>
        <w:rPr>
          <w:rFonts w:ascii="Calibri" w:hAnsi="Calibri"/>
          <w:b/>
          <w:i w:val="0"/>
          <w:sz w:val="20"/>
        </w:rPr>
        <w:t>═══════════════════════════════════════</w:t>
      </w:r>
    </w:p>
    <w:p/>
    <w:p>
      <w:pPr>
        <w:shd w:fill="F2F2F2" w:val="clear"/>
      </w:pPr>
      <w:r>
        <w:rPr>
          <w:rFonts w:ascii="Calibri" w:hAnsi="Calibri"/>
          <w:b/>
          <w:i w:val="0"/>
          <w:color w:val="5B4CFF"/>
          <w:sz w:val="20"/>
        </w:rPr>
        <w:t xml:space="preserve">Logo: </w:t>
      </w:r>
      <w:r>
        <w:rPr>
          <w:rFonts w:ascii="Calibri" w:hAnsi="Calibri"/>
          <w:b w:val="0"/>
          <w:i w:val="0"/>
          <w:sz w:val="20"/>
        </w:rPr>
        <w:t>https://upload.wikimedia.org/wikipedia/commons/2/22/Lululemon_Athletica_logo.svg</w:t>
      </w:r>
      <w:r>
        <w:rPr>
          <w:rFonts w:ascii="Calibri" w:hAnsi="Calibri"/>
          <w:b w:val="0"/>
          <w:i/>
          <w:color w:val="999999"/>
          <w:sz w:val="16"/>
        </w:rPr>
        <w:t xml:space="preserve">  [80 chars]</w:t>
      </w:r>
    </w:p>
    <w:p>
      <w:pPr>
        <w:shd w:fill="F2F2F2" w:val="clear"/>
      </w:pPr>
      <w:r>
        <w:rPr>
          <w:rFonts w:ascii="Calibri" w:hAnsi="Calibri"/>
          <w:b/>
          <w:i w:val="0"/>
          <w:color w:val="5B4CFF"/>
          <w:sz w:val="20"/>
        </w:rPr>
        <w:t xml:space="preserve">Nombre merchant: </w:t>
      </w:r>
      <w:r>
        <w:rPr>
          <w:rFonts w:ascii="Calibri" w:hAnsi="Calibri"/>
          <w:b w:val="0"/>
          <w:i w:val="0"/>
          <w:sz w:val="20"/>
        </w:rPr>
        <w:t>Lululemon Athletica</w:t>
      </w:r>
      <w:r>
        <w:rPr>
          <w:rFonts w:ascii="Calibri" w:hAnsi="Calibri"/>
          <w:b w:val="0"/>
          <w:i/>
          <w:color w:val="999999"/>
          <w:sz w:val="16"/>
        </w:rPr>
        <w:t xml:space="preserve">  [19 chars]</w:t>
      </w:r>
    </w:p>
    <w:p/>
    <w:p>
      <w:pPr>
        <w:spacing w:after="120"/>
      </w:pPr>
      <w:r>
        <w:rPr>
          <w:rFonts w:ascii="Calibri" w:hAnsi="Calibri"/>
          <w:b/>
          <w:i w:val="0"/>
          <w:color w:val="5B4CFF"/>
          <w:sz w:val="26"/>
        </w:rPr>
        <w:t>SLIDE 1: PAIN POINTS</w:t>
      </w:r>
    </w:p>
    <w:p>
      <w:pPr>
        <w:shd w:fill="F2F2F2" w:val="clear"/>
      </w:pPr>
      <w:r>
        <w:rPr>
          <w:rFonts w:ascii="Calibri" w:hAnsi="Calibri"/>
          <w:b/>
          <w:i w:val="0"/>
          <w:color w:val="5B4CFF"/>
          <w:sz w:val="20"/>
        </w:rPr>
        <w:t xml:space="preserve">Tittle_Pain Point_1: </w:t>
      </w:r>
      <w:r>
        <w:rPr>
          <w:rFonts w:ascii="Calibri" w:hAnsi="Calibri"/>
          <w:b w:val="0"/>
          <w:i w:val="0"/>
          <w:sz w:val="20"/>
        </w:rPr>
        <w:t>Single PSP Dependency</w:t>
      </w:r>
      <w:r>
        <w:rPr>
          <w:rFonts w:ascii="Calibri" w:hAnsi="Calibri"/>
          <w:b w:val="0"/>
          <w:i/>
          <w:color w:val="999999"/>
          <w:sz w:val="16"/>
        </w:rPr>
        <w:t xml:space="preserve">  [21 chars]</w:t>
      </w:r>
    </w:p>
    <w:p>
      <w:pPr>
        <w:shd w:fill="F2F2F2" w:val="clear"/>
      </w:pPr>
      <w:r>
        <w:rPr>
          <w:rFonts w:ascii="Calibri" w:hAnsi="Calibri"/>
          <w:b/>
          <w:i w:val="0"/>
          <w:color w:val="5B4CFF"/>
          <w:sz w:val="20"/>
        </w:rPr>
        <w:t xml:space="preserve">Tittle_Pain Point_2: </w:t>
      </w:r>
      <w:r>
        <w:rPr>
          <w:rFonts w:ascii="Calibri" w:hAnsi="Calibri"/>
          <w:b w:val="0"/>
          <w:i w:val="0"/>
          <w:sz w:val="20"/>
        </w:rPr>
        <w:t>China Payment Opacity</w:t>
      </w:r>
      <w:r>
        <w:rPr>
          <w:rFonts w:ascii="Calibri" w:hAnsi="Calibri"/>
          <w:b w:val="0"/>
          <w:i/>
          <w:color w:val="999999"/>
          <w:sz w:val="16"/>
        </w:rPr>
        <w:t xml:space="preserve">  [21 chars]</w:t>
      </w:r>
    </w:p>
    <w:p>
      <w:pPr>
        <w:shd w:fill="F2F2F2" w:val="clear"/>
      </w:pPr>
      <w:r>
        <w:rPr>
          <w:rFonts w:ascii="Calibri" w:hAnsi="Calibri"/>
          <w:b/>
          <w:i w:val="0"/>
          <w:color w:val="5B4CFF"/>
          <w:sz w:val="20"/>
        </w:rPr>
        <w:t xml:space="preserve">Tittle_Pain Point_3: </w:t>
      </w:r>
      <w:r>
        <w:rPr>
          <w:rFonts w:ascii="Calibri" w:hAnsi="Calibri"/>
          <w:b w:val="0"/>
          <w:i w:val="0"/>
          <w:sz w:val="20"/>
        </w:rPr>
        <w:t>BNPL Market Gaps</w:t>
      </w:r>
      <w:r>
        <w:rPr>
          <w:rFonts w:ascii="Calibri" w:hAnsi="Calibri"/>
          <w:b w:val="0"/>
          <w:i/>
          <w:color w:val="999999"/>
          <w:sz w:val="16"/>
        </w:rPr>
        <w:t xml:space="preserve">  [16 chars]</w:t>
      </w:r>
    </w:p>
    <w:p>
      <w:pPr>
        <w:shd w:fill="F2F2F2" w:val="clear"/>
      </w:pPr>
      <w:r>
        <w:rPr>
          <w:rFonts w:ascii="Calibri" w:hAnsi="Calibri"/>
          <w:b/>
          <w:i w:val="0"/>
          <w:color w:val="5B4CFF"/>
          <w:sz w:val="20"/>
        </w:rPr>
        <w:t xml:space="preserve">Tittle_Pain Point_4: </w:t>
      </w:r>
      <w:r>
        <w:rPr>
          <w:rFonts w:ascii="Calibri" w:hAnsi="Calibri"/>
          <w:b w:val="0"/>
          <w:i w:val="0"/>
          <w:sz w:val="20"/>
        </w:rPr>
        <w:t>EU Expansion Friction</w:t>
      </w:r>
      <w:r>
        <w:rPr>
          <w:rFonts w:ascii="Calibri" w:hAnsi="Calibri"/>
          <w:b w:val="0"/>
          <w:i/>
          <w:color w:val="999999"/>
          <w:sz w:val="16"/>
        </w:rPr>
        <w:t xml:space="preserve">  [21 chars]</w:t>
      </w:r>
    </w:p>
    <w:p>
      <w:pPr>
        <w:shd w:fill="F2F2F2" w:val="clear"/>
      </w:pPr>
      <w:r>
        <w:rPr>
          <w:rFonts w:ascii="Calibri" w:hAnsi="Calibri"/>
          <w:b/>
          <w:i w:val="0"/>
          <w:color w:val="5B4CFF"/>
          <w:sz w:val="20"/>
        </w:rPr>
        <w:t xml:space="preserve">Tittle_Pain Point_5: </w:t>
      </w:r>
      <w:r>
        <w:rPr>
          <w:rFonts w:ascii="Calibri" w:hAnsi="Calibri"/>
          <w:b w:val="0"/>
          <w:i w:val="0"/>
          <w:sz w:val="20"/>
        </w:rPr>
        <w:t>Pricing &amp; Checkout Errors</w:t>
      </w:r>
      <w:r>
        <w:rPr>
          <w:rFonts w:ascii="Calibri" w:hAnsi="Calibri"/>
          <w:b w:val="0"/>
          <w:i/>
          <w:color w:val="999999"/>
          <w:sz w:val="16"/>
        </w:rPr>
        <w:t xml:space="preserve">  [25 chars]</w:t>
      </w:r>
    </w:p>
    <w:p/>
    <w:p>
      <w:pPr>
        <w:shd w:fill="F2F2F2" w:val="clear"/>
      </w:pPr>
      <w:r>
        <w:rPr>
          <w:rFonts w:ascii="Calibri" w:hAnsi="Calibri"/>
          <w:b/>
          <w:i w:val="0"/>
          <w:color w:val="5B4CFF"/>
          <w:sz w:val="20"/>
        </w:rPr>
        <w:t xml:space="preserve">Desc_Pain Point_1: </w:t>
      </w:r>
      <w:r>
        <w:rPr>
          <w:rFonts w:ascii="Calibri" w:hAnsi="Calibri"/>
          <w:b w:val="0"/>
          <w:i w:val="0"/>
          <w:sz w:val="20"/>
        </w:rPr>
        <w:t>Lululemon routes all global payments through Adyen across 15+ markets. A single PSP means no failover when Adyen experiences downtime or declines, no competitive routing between processors, and no leverage to negotiate better rates. Every soft decline is a lost sale with no second-chance processing path.</w:t>
      </w:r>
    </w:p>
    <w:p>
      <w:pPr>
        <w:shd w:fill="F2F2F2" w:val="clear"/>
        <w:spacing w:before="0" w:after="120"/>
      </w:pPr>
      <w:r>
        <w:rPr>
          <w:rFonts w:ascii="Calibri" w:hAnsi="Calibri"/>
          <w:b w:val="0"/>
          <w:i/>
          <w:color w:val="999999"/>
          <w:sz w:val="16"/>
        </w:rPr>
        <w:t>[305 chars]</w:t>
      </w:r>
    </w:p>
    <w:p>
      <w:pPr>
        <w:shd w:fill="F2F2F2" w:val="clear"/>
      </w:pPr>
      <w:r>
        <w:rPr>
          <w:rFonts w:ascii="Calibri" w:hAnsi="Calibri"/>
          <w:b/>
          <w:i w:val="0"/>
          <w:color w:val="5B4CFF"/>
          <w:sz w:val="20"/>
        </w:rPr>
        <w:t xml:space="preserve">Desc_Pain Point_2: </w:t>
      </w:r>
      <w:r>
        <w:rPr>
          <w:rFonts w:ascii="Calibri" w:hAnsi="Calibri"/>
          <w:b w:val="0"/>
          <w:i w:val="0"/>
          <w:sz w:val="20"/>
        </w:rPr>
        <w:t>China is Lululemon's fastest growing market (29% revenue growth, 16% of global revenue, 170+ stores) but payment complexity is immense. Alipay, WeChat Pay, and Douyin Pay dominate. Tmall and WeChat Mini Programs each require separate integrations. Lululemon has limited visibility into cross-platform payment performance in its most important growth market.</w:t>
      </w:r>
    </w:p>
    <w:p>
      <w:pPr>
        <w:shd w:fill="F2F2F2" w:val="clear"/>
        <w:spacing w:before="0" w:after="120"/>
      </w:pPr>
      <w:r>
        <w:rPr>
          <w:rFonts w:ascii="Calibri" w:hAnsi="Calibri"/>
          <w:b w:val="0"/>
          <w:i/>
          <w:color w:val="999999"/>
          <w:sz w:val="16"/>
        </w:rPr>
        <w:t>[357 chars]</w:t>
      </w:r>
    </w:p>
    <w:p>
      <w:pPr>
        <w:shd w:fill="F2F2F2" w:val="clear"/>
      </w:pPr>
      <w:r>
        <w:rPr>
          <w:rFonts w:ascii="Calibri" w:hAnsi="Calibri"/>
          <w:b/>
          <w:i w:val="0"/>
          <w:color w:val="5B4CFF"/>
          <w:sz w:val="20"/>
        </w:rPr>
        <w:t xml:space="preserve">Desc_Pain Point_3: </w:t>
      </w:r>
      <w:r>
        <w:rPr>
          <w:rFonts w:ascii="Calibri" w:hAnsi="Calibri"/>
          <w:b w:val="0"/>
          <w:i w:val="0"/>
          <w:sz w:val="20"/>
        </w:rPr>
        <w:t>Afterpay and Klarna serve the US, Canada, Australia, UK, and select EU markets. But no BNPL exists for China (Huabei, JD Baitiao), Japan, South Korea, or the six new franchise markets launching in 2026 (Italy, Denmark, Belgium, Turkey, Czech Republic). High-AOV athletic apparel ($100+ average) needs installment options globally.</w:t>
      </w:r>
    </w:p>
    <w:p>
      <w:pPr>
        <w:shd w:fill="F2F2F2" w:val="clear"/>
        <w:spacing w:before="0" w:after="120"/>
      </w:pPr>
      <w:r>
        <w:rPr>
          <w:rFonts w:ascii="Calibri" w:hAnsi="Calibri"/>
          <w:b w:val="0"/>
          <w:i/>
          <w:color w:val="999999"/>
          <w:sz w:val="16"/>
        </w:rPr>
        <w:t>[330 chars]</w:t>
      </w:r>
    </w:p>
    <w:p>
      <w:pPr>
        <w:shd w:fill="F2F2F2" w:val="clear"/>
      </w:pPr>
      <w:r>
        <w:rPr>
          <w:rFonts w:ascii="Calibri" w:hAnsi="Calibri"/>
          <w:b/>
          <w:i w:val="0"/>
          <w:color w:val="5B4CFF"/>
          <w:sz w:val="20"/>
        </w:rPr>
        <w:t xml:space="preserve">Desc_Pain Point_4: </w:t>
      </w:r>
      <w:r>
        <w:rPr>
          <w:rFonts w:ascii="Calibri" w:hAnsi="Calibri"/>
          <w:b w:val="0"/>
          <w:i w:val="0"/>
          <w:sz w:val="20"/>
        </w:rPr>
        <w:t>Lululemon is entering Italy (company-owned), Denmark, Belgium, Turkey, and Czech Republic via franchise in 2026. Each new market requires local payment method activation: iDEAL (NL cross-border), Bancontact (BE), Przelewy24 (PL), and now Italian methods. One-by-one PSP negotiations slow market entry.</w:t>
      </w:r>
    </w:p>
    <w:p>
      <w:pPr>
        <w:shd w:fill="F2F2F2" w:val="clear"/>
        <w:spacing w:before="0" w:after="120"/>
      </w:pPr>
      <w:r>
        <w:rPr>
          <w:rFonts w:ascii="Calibri" w:hAnsi="Calibri"/>
          <w:b w:val="0"/>
          <w:i/>
          <w:color w:val="999999"/>
          <w:sz w:val="16"/>
        </w:rPr>
        <w:t>[301 chars]</w:t>
      </w:r>
    </w:p>
    <w:p>
      <w:pPr>
        <w:shd w:fill="F2F2F2" w:val="clear"/>
      </w:pPr>
      <w:r>
        <w:rPr>
          <w:rFonts w:ascii="Calibri" w:hAnsi="Calibri"/>
          <w:b/>
          <w:i w:val="0"/>
          <w:color w:val="5B4CFF"/>
          <w:sz w:val="20"/>
        </w:rPr>
        <w:t xml:space="preserve">Desc_Pain Point_5: </w:t>
      </w:r>
      <w:r>
        <w:rPr>
          <w:rFonts w:ascii="Calibri" w:hAnsi="Calibri"/>
          <w:b w:val="0"/>
          <w:i w:val="0"/>
          <w:sz w:val="20"/>
        </w:rPr>
        <w:t>In October 2025, Lululemon's North American site displayed incorrect sale prices during checkout, charging customers full price despite showing discounts. BBB complaints document gift card balance disappearances after single transactions and multiple authorization holds without order confirmation.</w:t>
      </w:r>
    </w:p>
    <w:p>
      <w:pPr>
        <w:shd w:fill="F2F2F2" w:val="clear"/>
        <w:spacing w:before="0" w:after="120"/>
      </w:pPr>
      <w:r>
        <w:rPr>
          <w:rFonts w:ascii="Calibri" w:hAnsi="Calibri"/>
          <w:b w:val="0"/>
          <w:i/>
          <w:color w:val="999999"/>
          <w:sz w:val="16"/>
        </w:rPr>
        <w:t>[298 chars]</w:t>
      </w:r>
    </w:p>
    <w:p/>
    <w:p>
      <w:pPr>
        <w:spacing w:after="120"/>
      </w:pPr>
      <w:r>
        <w:rPr>
          <w:rFonts w:ascii="Calibri" w:hAnsi="Calibri"/>
          <w:b/>
          <w:i w:val="0"/>
          <w:color w:val="5B4CFF"/>
          <w:sz w:val="26"/>
        </w:rPr>
        <w:t>SLIDE 1: PSP TOPOLOGY</w:t>
      </w:r>
    </w:p>
    <w:tbl>
      <w:tblPr>
        <w:tblStyle w:val="TableGrid"/>
        <w:tblW w:type="auto" w:w="0"/>
        <w:tblLook w:firstColumn="1" w:firstRow="1" w:lastColumn="0" w:lastRow="0" w:noHBand="0" w:noVBand="1" w:val="04A0"/>
      </w:tblPr>
      <w:tblGrid>
        <w:gridCol w:w="4320"/>
        <w:gridCol w:w="4320"/>
      </w:tblGrid>
      <w:tr>
        <w:tc>
          <w:tcPr>
            <w:tcW w:type="dxa" w:w="4320"/>
            <w:shd w:fill="E8E5FF" w:val="clear"/>
          </w:tcPr>
          <w:p>
            <w:r>
              <w:rPr>
                <w:rFonts w:ascii="Calibri" w:hAnsi="Calibri"/>
                <w:b/>
                <w:i w:val="0"/>
                <w:color w:val="5B4CFF"/>
                <w:sz w:val="20"/>
              </w:rPr>
              <w:t>Field</w:t>
            </w:r>
          </w:p>
        </w:tc>
        <w:tc>
          <w:tcPr>
            <w:tcW w:type="dxa" w:w="4320"/>
            <w:shd w:fill="E8E5FF" w:val="clear"/>
          </w:tcPr>
          <w:p>
            <w:r>
              <w:rPr>
                <w:rFonts w:ascii="Calibri" w:hAnsi="Calibri"/>
                <w:b/>
                <w:i w:val="0"/>
                <w:color w:val="5B4CFF"/>
                <w:sz w:val="20"/>
              </w:rPr>
              <w:t>Value</w:t>
            </w:r>
          </w:p>
        </w:tc>
      </w:tr>
      <w:tr>
        <w:tc>
          <w:tcPr>
            <w:tcW w:type="dxa" w:w="4320"/>
          </w:tcPr>
          <w:p>
            <w:r>
              <w:rPr>
                <w:rFonts w:ascii="Calibri" w:hAnsi="Calibri"/>
                <w:b/>
                <w:i w:val="0"/>
                <w:sz w:val="20"/>
              </w:rPr>
              <w:t>PSP_1</w:t>
            </w:r>
          </w:p>
        </w:tc>
        <w:tc>
          <w:tcPr>
            <w:tcW w:type="dxa" w:w="4320"/>
          </w:tcPr>
          <w:p>
            <w:r>
              <w:rPr>
                <w:rFonts w:ascii="Calibri" w:hAnsi="Calibri"/>
                <w:b w:val="0"/>
                <w:i w:val="0"/>
                <w:sz w:val="20"/>
              </w:rPr>
              <w:t>Adyen (primary, global acquiring + POS)</w:t>
            </w:r>
          </w:p>
        </w:tc>
      </w:tr>
      <w:tr>
        <w:tc>
          <w:tcPr>
            <w:tcW w:type="dxa" w:w="4320"/>
            <w:shd w:fill="F2F2F2" w:val="clear"/>
          </w:tcPr>
          <w:p>
            <w:r>
              <w:rPr>
                <w:rFonts w:ascii="Calibri" w:hAnsi="Calibri"/>
                <w:b/>
                <w:i w:val="0"/>
                <w:sz w:val="20"/>
              </w:rPr>
              <w:t>PSP_2</w:t>
            </w:r>
          </w:p>
        </w:tc>
        <w:tc>
          <w:tcPr>
            <w:tcW w:type="dxa" w:w="4320"/>
            <w:shd w:fill="F2F2F2" w:val="clear"/>
          </w:tcPr>
          <w:p>
            <w:r>
              <w:rPr>
                <w:rFonts w:ascii="Calibri" w:hAnsi="Calibri"/>
                <w:b w:val="0"/>
                <w:i w:val="0"/>
                <w:sz w:val="20"/>
              </w:rPr>
              <w:t>Klarna (BNPL, US/CA/UK/EU/AU)</w:t>
            </w:r>
          </w:p>
        </w:tc>
      </w:tr>
      <w:tr>
        <w:tc>
          <w:tcPr>
            <w:tcW w:type="dxa" w:w="4320"/>
          </w:tcPr>
          <w:p>
            <w:r>
              <w:rPr>
                <w:rFonts w:ascii="Calibri" w:hAnsi="Calibri"/>
                <w:b/>
                <w:i w:val="0"/>
                <w:sz w:val="20"/>
              </w:rPr>
              <w:t>PSP_3</w:t>
            </w:r>
          </w:p>
        </w:tc>
        <w:tc>
          <w:tcPr>
            <w:tcW w:type="dxa" w:w="4320"/>
          </w:tcPr>
          <w:p>
            <w:r>
              <w:rPr>
                <w:rFonts w:ascii="Calibri" w:hAnsi="Calibri"/>
                <w:b w:val="0"/>
                <w:i w:val="0"/>
                <w:sz w:val="20"/>
              </w:rPr>
              <w:t>Afterpay (Block) (BNPL, US/CA/AU)</w:t>
            </w:r>
          </w:p>
        </w:tc>
      </w:tr>
      <w:tr>
        <w:tc>
          <w:tcPr>
            <w:tcW w:type="dxa" w:w="4320"/>
            <w:shd w:fill="F2F2F2" w:val="clear"/>
          </w:tcPr>
          <w:p>
            <w:r>
              <w:rPr>
                <w:rFonts w:ascii="Calibri" w:hAnsi="Calibri"/>
                <w:b/>
                <w:i w:val="0"/>
                <w:sz w:val="20"/>
              </w:rPr>
              <w:t>PSP_4</w:t>
            </w:r>
          </w:p>
        </w:tc>
        <w:tc>
          <w:tcPr>
            <w:tcW w:type="dxa" w:w="4320"/>
            <w:shd w:fill="F2F2F2" w:val="clear"/>
          </w:tcPr>
          <w:p>
            <w:r>
              <w:rPr>
                <w:rFonts w:ascii="Calibri" w:hAnsi="Calibri"/>
                <w:b w:val="0"/>
                <w:i w:val="0"/>
                <w:sz w:val="20"/>
              </w:rPr>
              <w:t>PayPal</w:t>
            </w:r>
          </w:p>
        </w:tc>
      </w:tr>
    </w:tbl>
    <w:p/>
    <w:p>
      <w:pPr>
        <w:spacing w:after="120"/>
      </w:pPr>
      <w:r>
        <w:rPr>
          <w:rFonts w:ascii="Calibri" w:hAnsi="Calibri"/>
          <w:b/>
          <w:i w:val="0"/>
          <w:color w:val="5B4CFF"/>
          <w:sz w:val="26"/>
        </w:rPr>
        <w:t>SLIDE 1: MISSING LOCAL METHODS (BLIND SPOTS)</w:t>
      </w:r>
    </w:p>
    <w:tbl>
      <w:tblPr>
        <w:tblStyle w:val="TableGrid"/>
        <w:tblW w:type="auto" w:w="0"/>
        <w:tblLook w:firstColumn="1" w:firstRow="1" w:lastColumn="0" w:lastRow="0" w:noHBand="0" w:noVBand="1" w:val="04A0"/>
      </w:tblPr>
      <w:tblGrid>
        <w:gridCol w:w="4320"/>
        <w:gridCol w:w="4320"/>
      </w:tblGrid>
      <w:tr>
        <w:tc>
          <w:tcPr>
            <w:tcW w:type="dxa" w:w="4320"/>
            <w:shd w:fill="E8E5FF" w:val="clear"/>
          </w:tcPr>
          <w:p>
            <w:r>
              <w:rPr>
                <w:rFonts w:ascii="Calibri" w:hAnsi="Calibri"/>
                <w:b/>
                <w:i w:val="0"/>
                <w:color w:val="5B4CFF"/>
                <w:sz w:val="20"/>
              </w:rPr>
              <w:t>Field</w:t>
            </w:r>
          </w:p>
        </w:tc>
        <w:tc>
          <w:tcPr>
            <w:tcW w:type="dxa" w:w="4320"/>
            <w:shd w:fill="E8E5FF" w:val="clear"/>
          </w:tcPr>
          <w:p>
            <w:r>
              <w:rPr>
                <w:rFonts w:ascii="Calibri" w:hAnsi="Calibri"/>
                <w:b/>
                <w:i w:val="0"/>
                <w:color w:val="5B4CFF"/>
                <w:sz w:val="20"/>
              </w:rPr>
              <w:t>Value</w:t>
            </w:r>
          </w:p>
        </w:tc>
      </w:tr>
      <w:tr>
        <w:tc>
          <w:tcPr>
            <w:tcW w:type="dxa" w:w="4320"/>
          </w:tcPr>
          <w:p>
            <w:r>
              <w:rPr>
                <w:rFonts w:ascii="Calibri" w:hAnsi="Calibri"/>
                <w:b/>
                <w:i w:val="0"/>
                <w:sz w:val="20"/>
              </w:rPr>
              <w:t>Local_M_1</w:t>
            </w:r>
          </w:p>
        </w:tc>
        <w:tc>
          <w:tcPr>
            <w:tcW w:type="dxa" w:w="4320"/>
          </w:tcPr>
          <w:p>
            <w:r>
              <w:rPr>
                <w:rFonts w:ascii="Calibri" w:hAnsi="Calibri"/>
                <w:b w:val="0"/>
                <w:i w:val="0"/>
                <w:sz w:val="20"/>
              </w:rPr>
              <w:t>Alipay (CN, coverage depth)</w:t>
            </w:r>
          </w:p>
        </w:tc>
      </w:tr>
      <w:tr>
        <w:tc>
          <w:tcPr>
            <w:tcW w:type="dxa" w:w="4320"/>
            <w:shd w:fill="F2F2F2" w:val="clear"/>
          </w:tcPr>
          <w:p>
            <w:r>
              <w:rPr>
                <w:rFonts w:ascii="Calibri" w:hAnsi="Calibri"/>
                <w:b/>
                <w:i w:val="0"/>
                <w:sz w:val="20"/>
              </w:rPr>
              <w:t>Local_M_2</w:t>
            </w:r>
          </w:p>
        </w:tc>
        <w:tc>
          <w:tcPr>
            <w:tcW w:type="dxa" w:w="4320"/>
            <w:shd w:fill="F2F2F2" w:val="clear"/>
          </w:tcPr>
          <w:p>
            <w:r>
              <w:rPr>
                <w:rFonts w:ascii="Calibri" w:hAnsi="Calibri"/>
                <w:b w:val="0"/>
                <w:i w:val="0"/>
                <w:sz w:val="20"/>
              </w:rPr>
              <w:t>WeChat Pay (CN, coverage depth)</w:t>
            </w:r>
          </w:p>
        </w:tc>
      </w:tr>
      <w:tr>
        <w:tc>
          <w:tcPr>
            <w:tcW w:type="dxa" w:w="4320"/>
          </w:tcPr>
          <w:p>
            <w:r>
              <w:rPr>
                <w:rFonts w:ascii="Calibri" w:hAnsi="Calibri"/>
                <w:b/>
                <w:i w:val="0"/>
                <w:sz w:val="20"/>
              </w:rPr>
              <w:t>Local_M_3</w:t>
            </w:r>
          </w:p>
        </w:tc>
        <w:tc>
          <w:tcPr>
            <w:tcW w:type="dxa" w:w="4320"/>
          </w:tcPr>
          <w:p>
            <w:r>
              <w:rPr>
                <w:rFonts w:ascii="Calibri" w:hAnsi="Calibri"/>
                <w:b w:val="0"/>
                <w:i w:val="0"/>
                <w:sz w:val="20"/>
              </w:rPr>
              <w:t>Huabei (CN BNPL)</w:t>
            </w:r>
          </w:p>
        </w:tc>
      </w:tr>
      <w:tr>
        <w:tc>
          <w:tcPr>
            <w:tcW w:type="dxa" w:w="4320"/>
            <w:shd w:fill="F2F2F2" w:val="clear"/>
          </w:tcPr>
          <w:p>
            <w:r>
              <w:rPr>
                <w:rFonts w:ascii="Calibri" w:hAnsi="Calibri"/>
                <w:b/>
                <w:i w:val="0"/>
                <w:sz w:val="20"/>
              </w:rPr>
              <w:t>Local_M_4</w:t>
            </w:r>
          </w:p>
        </w:tc>
        <w:tc>
          <w:tcPr>
            <w:tcW w:type="dxa" w:w="4320"/>
            <w:shd w:fill="F2F2F2" w:val="clear"/>
          </w:tcPr>
          <w:p>
            <w:r>
              <w:rPr>
                <w:rFonts w:ascii="Calibri" w:hAnsi="Calibri"/>
                <w:b w:val="0"/>
                <w:i w:val="0"/>
                <w:sz w:val="20"/>
              </w:rPr>
              <w:t>Konbini (JP)</w:t>
            </w:r>
          </w:p>
        </w:tc>
      </w:tr>
      <w:tr>
        <w:tc>
          <w:tcPr>
            <w:tcW w:type="dxa" w:w="4320"/>
          </w:tcPr>
          <w:p>
            <w:r>
              <w:rPr>
                <w:rFonts w:ascii="Calibri" w:hAnsi="Calibri"/>
                <w:b/>
                <w:i w:val="0"/>
                <w:sz w:val="20"/>
              </w:rPr>
              <w:t>Local_M_5</w:t>
            </w:r>
          </w:p>
        </w:tc>
        <w:tc>
          <w:tcPr>
            <w:tcW w:type="dxa" w:w="4320"/>
          </w:tcPr>
          <w:p>
            <w:r>
              <w:rPr>
                <w:rFonts w:ascii="Calibri" w:hAnsi="Calibri"/>
                <w:b w:val="0"/>
                <w:i w:val="0"/>
                <w:sz w:val="20"/>
              </w:rPr>
              <w:t>PayPay (JP)</w:t>
            </w:r>
          </w:p>
        </w:tc>
      </w:tr>
      <w:tr>
        <w:tc>
          <w:tcPr>
            <w:tcW w:type="dxa" w:w="4320"/>
            <w:shd w:fill="F2F2F2" w:val="clear"/>
          </w:tcPr>
          <w:p>
            <w:r>
              <w:rPr>
                <w:rFonts w:ascii="Calibri" w:hAnsi="Calibri"/>
                <w:b/>
                <w:i w:val="0"/>
                <w:sz w:val="20"/>
              </w:rPr>
              <w:t>Local_M_6</w:t>
            </w:r>
          </w:p>
        </w:tc>
        <w:tc>
          <w:tcPr>
            <w:tcW w:type="dxa" w:w="4320"/>
            <w:shd w:fill="F2F2F2" w:val="clear"/>
          </w:tcPr>
          <w:p>
            <w:r>
              <w:rPr>
                <w:rFonts w:ascii="Calibri" w:hAnsi="Calibri"/>
                <w:b w:val="0"/>
                <w:i w:val="0"/>
                <w:sz w:val="20"/>
              </w:rPr>
              <w:t>KakaoPay (KR)</w:t>
            </w:r>
          </w:p>
        </w:tc>
      </w:tr>
      <w:tr>
        <w:tc>
          <w:tcPr>
            <w:tcW w:type="dxa" w:w="4320"/>
          </w:tcPr>
          <w:p>
            <w:r>
              <w:rPr>
                <w:rFonts w:ascii="Calibri" w:hAnsi="Calibri"/>
                <w:b/>
                <w:i w:val="0"/>
                <w:sz w:val="20"/>
              </w:rPr>
              <w:t>Local_M_7</w:t>
            </w:r>
          </w:p>
        </w:tc>
        <w:tc>
          <w:tcPr>
            <w:tcW w:type="dxa" w:w="4320"/>
          </w:tcPr>
          <w:p>
            <w:r>
              <w:rPr>
                <w:rFonts w:ascii="Calibri" w:hAnsi="Calibri"/>
                <w:b w:val="0"/>
                <w:i w:val="0"/>
                <w:sz w:val="20"/>
              </w:rPr>
              <w:t>Mada (SA franchise)</w:t>
            </w:r>
          </w:p>
        </w:tc>
      </w:tr>
      <w:tr>
        <w:tc>
          <w:tcPr>
            <w:tcW w:type="dxa" w:w="4320"/>
            <w:shd w:fill="F2F2F2" w:val="clear"/>
          </w:tcPr>
          <w:p>
            <w:r>
              <w:rPr>
                <w:rFonts w:ascii="Calibri" w:hAnsi="Calibri"/>
                <w:b/>
                <w:i w:val="0"/>
                <w:sz w:val="20"/>
              </w:rPr>
              <w:t>Local_M_8</w:t>
            </w:r>
          </w:p>
        </w:tc>
        <w:tc>
          <w:tcPr>
            <w:tcW w:type="dxa" w:w="4320"/>
            <w:shd w:fill="F2F2F2" w:val="clear"/>
          </w:tcPr>
          <w:p>
            <w:r>
              <w:rPr>
                <w:rFonts w:ascii="Calibri" w:hAnsi="Calibri"/>
                <w:b w:val="0"/>
                <w:i w:val="0"/>
                <w:sz w:val="20"/>
              </w:rPr>
              <w:t>GCash (PH franchise)</w:t>
            </w:r>
          </w:p>
        </w:tc>
      </w:tr>
      <w:tr>
        <w:tc>
          <w:tcPr>
            <w:tcW w:type="dxa" w:w="4320"/>
          </w:tcPr>
          <w:p>
            <w:r>
              <w:rPr>
                <w:rFonts w:ascii="Calibri" w:hAnsi="Calibri"/>
                <w:b/>
                <w:i w:val="0"/>
                <w:sz w:val="20"/>
              </w:rPr>
              <w:t>Local_M_9</w:t>
            </w:r>
          </w:p>
        </w:tc>
        <w:tc>
          <w:tcPr>
            <w:tcW w:type="dxa" w:w="4320"/>
          </w:tcPr>
          <w:p>
            <w:r>
              <w:rPr>
                <w:rFonts w:ascii="Calibri" w:hAnsi="Calibri"/>
                <w:b w:val="0"/>
                <w:i w:val="0"/>
                <w:sz w:val="20"/>
              </w:rPr>
              <w:t>Tamara (ME franchise)</w:t>
            </w:r>
          </w:p>
        </w:tc>
      </w:tr>
      <w:tr>
        <w:tc>
          <w:tcPr>
            <w:tcW w:type="dxa" w:w="4320"/>
            <w:shd w:fill="F2F2F2" w:val="clear"/>
          </w:tcPr>
          <w:p>
            <w:r>
              <w:rPr>
                <w:rFonts w:ascii="Calibri" w:hAnsi="Calibri"/>
                <w:b/>
                <w:i w:val="0"/>
                <w:sz w:val="20"/>
              </w:rPr>
              <w:t>Local_M_10</w:t>
            </w:r>
          </w:p>
        </w:tc>
        <w:tc>
          <w:tcPr>
            <w:tcW w:type="dxa" w:w="4320"/>
            <w:shd w:fill="F2F2F2" w:val="clear"/>
          </w:tcPr>
          <w:p>
            <w:r>
              <w:rPr>
                <w:rFonts w:ascii="Calibri" w:hAnsi="Calibri"/>
                <w:b w:val="0"/>
                <w:i w:val="0"/>
                <w:sz w:val="20"/>
              </w:rPr>
              <w:t>Bizum (ES)</w:t>
            </w:r>
          </w:p>
        </w:tc>
      </w:tr>
    </w:tbl>
    <w:p/>
    <w:p>
      <w:pPr>
        <w:spacing w:after="120"/>
      </w:pPr>
      <w:r>
        <w:rPr>
          <w:rFonts w:ascii="Calibri" w:hAnsi="Calibri"/>
          <w:b/>
          <w:i w:val="0"/>
          <w:color w:val="5B4CFF"/>
          <w:sz w:val="26"/>
        </w:rPr>
        <w:t>SLIDE 2: YUNO CAPABILITIES</w:t>
      </w:r>
    </w:p>
    <w:p>
      <w:pPr>
        <w:shd w:fill="F2F2F2" w:val="clear"/>
      </w:pPr>
      <w:r>
        <w:rPr>
          <w:rFonts w:ascii="Calibri" w:hAnsi="Calibri"/>
          <w:b/>
          <w:i w:val="0"/>
          <w:color w:val="5B4CFF"/>
          <w:sz w:val="20"/>
        </w:rPr>
        <w:t xml:space="preserve">Tittle_Yuno_Cap1: </w:t>
      </w:r>
      <w:r>
        <w:rPr>
          <w:rFonts w:ascii="Calibri" w:hAnsi="Calibri"/>
          <w:b w:val="0"/>
          <w:i w:val="0"/>
          <w:sz w:val="20"/>
        </w:rPr>
        <w:t>Smart Routing Engine</w:t>
      </w:r>
      <w:r>
        <w:rPr>
          <w:rFonts w:ascii="Calibri" w:hAnsi="Calibri"/>
          <w:b w:val="0"/>
          <w:i/>
          <w:color w:val="999999"/>
          <w:sz w:val="16"/>
        </w:rPr>
        <w:t xml:space="preserve">  [20 chars]</w:t>
      </w:r>
    </w:p>
    <w:p>
      <w:pPr>
        <w:shd w:fill="F2F2F2" w:val="clear"/>
      </w:pPr>
      <w:r>
        <w:rPr>
          <w:rFonts w:ascii="Calibri" w:hAnsi="Calibri"/>
          <w:b/>
          <w:i w:val="0"/>
          <w:color w:val="5B4CFF"/>
          <w:sz w:val="20"/>
        </w:rPr>
        <w:t xml:space="preserve">Tittle_Yuno_Cap2: </w:t>
      </w:r>
      <w:r>
        <w:rPr>
          <w:rFonts w:ascii="Calibri" w:hAnsi="Calibri"/>
          <w:b w:val="0"/>
          <w:i w:val="0"/>
          <w:sz w:val="20"/>
        </w:rPr>
        <w:t>Failover &amp; Cascade Retries</w:t>
      </w:r>
      <w:r>
        <w:rPr>
          <w:rFonts w:ascii="Calibri" w:hAnsi="Calibri"/>
          <w:b w:val="0"/>
          <w:i/>
          <w:color w:val="999999"/>
          <w:sz w:val="16"/>
        </w:rPr>
        <w:t xml:space="preserve">  [26 chars]</w:t>
      </w:r>
    </w:p>
    <w:p>
      <w:pPr>
        <w:shd w:fill="F2F2F2" w:val="clear"/>
      </w:pPr>
      <w:r>
        <w:rPr>
          <w:rFonts w:ascii="Calibri" w:hAnsi="Calibri"/>
          <w:b/>
          <w:i w:val="0"/>
          <w:color w:val="5B4CFF"/>
          <w:sz w:val="20"/>
        </w:rPr>
        <w:t xml:space="preserve">Tittle_Yuno_Cap3: </w:t>
      </w:r>
      <w:r>
        <w:rPr>
          <w:rFonts w:ascii="Calibri" w:hAnsi="Calibri"/>
          <w:b w:val="0"/>
          <w:i w:val="0"/>
          <w:sz w:val="20"/>
        </w:rPr>
        <w:t>Local Payment Methods</w:t>
      </w:r>
      <w:r>
        <w:rPr>
          <w:rFonts w:ascii="Calibri" w:hAnsi="Calibri"/>
          <w:b w:val="0"/>
          <w:i/>
          <w:color w:val="999999"/>
          <w:sz w:val="16"/>
        </w:rPr>
        <w:t xml:space="preserve">  [21 chars]</w:t>
      </w:r>
    </w:p>
    <w:p>
      <w:pPr>
        <w:shd w:fill="F2F2F2" w:val="clear"/>
      </w:pPr>
      <w:r>
        <w:rPr>
          <w:rFonts w:ascii="Calibri" w:hAnsi="Calibri"/>
          <w:b/>
          <w:i w:val="0"/>
          <w:color w:val="5B4CFF"/>
          <w:sz w:val="20"/>
        </w:rPr>
        <w:t xml:space="preserve">Tittle_Yuno_Cap4: </w:t>
      </w:r>
      <w:r>
        <w:rPr>
          <w:rFonts w:ascii="Calibri" w:hAnsi="Calibri"/>
          <w:b w:val="0"/>
          <w:i w:val="0"/>
          <w:sz w:val="20"/>
        </w:rPr>
        <w:t>Unified Orchestration Layer</w:t>
      </w:r>
      <w:r>
        <w:rPr>
          <w:rFonts w:ascii="Calibri" w:hAnsi="Calibri"/>
          <w:b w:val="0"/>
          <w:i/>
          <w:color w:val="999999"/>
          <w:sz w:val="16"/>
        </w:rPr>
        <w:t xml:space="preserve">  [27 chars]</w:t>
      </w:r>
    </w:p>
    <w:p/>
    <w:p>
      <w:pPr>
        <w:shd w:fill="F2F2F2" w:val="clear"/>
      </w:pPr>
      <w:r>
        <w:rPr>
          <w:rFonts w:ascii="Calibri" w:hAnsi="Calibri"/>
          <w:b/>
          <w:i w:val="0"/>
          <w:color w:val="5B4CFF"/>
          <w:sz w:val="20"/>
        </w:rPr>
        <w:t xml:space="preserve">Desc_Yuno_Cap1: </w:t>
      </w:r>
      <w:r>
        <w:rPr>
          <w:rFonts w:ascii="Calibri" w:hAnsi="Calibri"/>
          <w:b w:val="0"/>
          <w:i w:val="0"/>
          <w:sz w:val="20"/>
        </w:rPr>
        <w:t>Route each transaction to the optimal acquirer by market, card BIN, and issuer in real time. With $10.6B in annual revenue and 39% flowing through digital channels (~$4.1B e-commerce), even a 2% authorization uplift translates to $82M+ in recovered annual revenue. Smart Routing adds a competitive routing layer on top of Adyen, dynamically selecting the best path for every $100+ athletic apparel transaction.</w:t>
      </w:r>
    </w:p>
    <w:p>
      <w:pPr>
        <w:shd w:fill="F2F2F2" w:val="clear"/>
        <w:spacing w:before="0" w:after="120"/>
      </w:pPr>
      <w:r>
        <w:rPr>
          <w:rFonts w:ascii="Calibri" w:hAnsi="Calibri"/>
          <w:b w:val="0"/>
          <w:i/>
          <w:color w:val="999999"/>
          <w:sz w:val="16"/>
        </w:rPr>
        <w:t>[410 chars]</w:t>
      </w:r>
    </w:p>
    <w:p>
      <w:pPr>
        <w:shd w:fill="F2F2F2" w:val="clear"/>
      </w:pPr>
      <w:r>
        <w:rPr>
          <w:rFonts w:ascii="Calibri" w:hAnsi="Calibri"/>
          <w:b/>
          <w:i w:val="0"/>
          <w:color w:val="5B4CFF"/>
          <w:sz w:val="20"/>
        </w:rPr>
        <w:t xml:space="preserve">Desc_Yuno_Cap2: </w:t>
      </w:r>
      <w:r>
        <w:rPr>
          <w:rFonts w:ascii="Calibri" w:hAnsi="Calibri"/>
          <w:b w:val="0"/>
          <w:i w:val="0"/>
          <w:sz w:val="20"/>
        </w:rPr>
        <w:t>When Adyen declines a transaction or experiences latency, Yuno automatically cascades to an alternative processor in milliseconds. Single-PSP dependency means Lululemon currently has zero failover capability. Adding cascade retries alone could recover 3-5% of declined transactions, worth $120-200M annually on Lululemon's volume.</w:t>
      </w:r>
    </w:p>
    <w:p>
      <w:pPr>
        <w:shd w:fill="F2F2F2" w:val="clear"/>
        <w:spacing w:before="0" w:after="120"/>
      </w:pPr>
      <w:r>
        <w:rPr>
          <w:rFonts w:ascii="Calibri" w:hAnsi="Calibri"/>
          <w:b w:val="0"/>
          <w:i/>
          <w:color w:val="999999"/>
          <w:sz w:val="16"/>
        </w:rPr>
        <w:t>[330 chars]</w:t>
      </w:r>
    </w:p>
    <w:p>
      <w:pPr>
        <w:shd w:fill="F2F2F2" w:val="clear"/>
      </w:pPr>
      <w:r>
        <w:rPr>
          <w:rFonts w:ascii="Calibri" w:hAnsi="Calibri"/>
          <w:b/>
          <w:i w:val="0"/>
          <w:color w:val="5B4CFF"/>
          <w:sz w:val="20"/>
        </w:rPr>
        <w:t xml:space="preserve">Desc_Yuno_Cap3: </w:t>
      </w:r>
      <w:r>
        <w:rPr>
          <w:rFonts w:ascii="Calibri" w:hAnsi="Calibri"/>
          <w:b w:val="0"/>
          <w:i w:val="0"/>
          <w:sz w:val="20"/>
        </w:rPr>
        <w:t>One API integration activates Alipay and WeChat Pay with deeper coverage in China, Konbini and PayPay in Japan, KakaoPay in South Korea, and Mada, Tamara, and GCash across franchise markets. Yuno connects 1,000+ payment methods across 40+ countries. The six new 2026 markets (Italy, Denmark, Belgium, Turkey, Czech Republic) go live with pre-connected local methods from day one.</w:t>
      </w:r>
    </w:p>
    <w:p>
      <w:pPr>
        <w:shd w:fill="F2F2F2" w:val="clear"/>
        <w:spacing w:before="0" w:after="120"/>
      </w:pPr>
      <w:r>
        <w:rPr>
          <w:rFonts w:ascii="Calibri" w:hAnsi="Calibri"/>
          <w:b w:val="0"/>
          <w:i/>
          <w:color w:val="999999"/>
          <w:sz w:val="16"/>
        </w:rPr>
        <w:t>[379 chars]</w:t>
      </w:r>
    </w:p>
    <w:p>
      <w:pPr>
        <w:shd w:fill="F2F2F2" w:val="clear"/>
      </w:pPr>
      <w:r>
        <w:rPr>
          <w:rFonts w:ascii="Calibri" w:hAnsi="Calibri"/>
          <w:b/>
          <w:i w:val="0"/>
          <w:color w:val="5B4CFF"/>
          <w:sz w:val="20"/>
        </w:rPr>
        <w:t xml:space="preserve">Desc_Yuno_Cap4: </w:t>
      </w:r>
      <w:r>
        <w:rPr>
          <w:rFonts w:ascii="Calibri" w:hAnsi="Calibri"/>
          <w:b w:val="0"/>
          <w:i w:val="0"/>
          <w:sz w:val="20"/>
        </w:rPr>
        <w:t>Add an orchestration layer above Adyen to gain multi-PSP flexibility, real-time approval rate monitoring across all 25+ countries, and centralized settlement. Lululemon keeps Adyen as primary processor while Yuno provides failover routes, competitive benchmarking, and unified analytics across company-owned and franchise markets through a single dashboard.</w:t>
      </w:r>
    </w:p>
    <w:p>
      <w:pPr>
        <w:shd w:fill="F2F2F2" w:val="clear"/>
        <w:spacing w:before="0" w:after="120"/>
      </w:pPr>
      <w:r>
        <w:rPr>
          <w:rFonts w:ascii="Calibri" w:hAnsi="Calibri"/>
          <w:b w:val="0"/>
          <w:i/>
          <w:color w:val="999999"/>
          <w:sz w:val="16"/>
        </w:rPr>
        <w:t>[357 chars]</w:t>
      </w:r>
    </w:p>
    <w:p>
      <w:r>
        <w:br w:type="page"/>
      </w:r>
    </w:p>
    <w:p>
      <w:pPr>
        <w:spacing w:after="160"/>
      </w:pPr>
      <w:r>
        <w:rPr>
          <w:rFonts w:ascii="Calibri" w:hAnsi="Calibri"/>
          <w:b/>
          <w:i w:val="0"/>
          <w:color w:val="5B4CFF"/>
          <w:sz w:val="28"/>
        </w:rPr>
        <w:t>RESEARCH BACKING | Key Facts for the Meeting</w:t>
      </w:r>
    </w:p>
    <w:p>
      <w:pPr>
        <w:spacing w:before="40" w:after="40"/>
      </w:pPr>
      <w:r>
        <w:rPr>
          <w:rFonts w:ascii="Calibri" w:hAnsi="Calibri"/>
          <w:b w:val="0"/>
          <w:i w:val="0"/>
          <w:color w:val="CCCCCC"/>
          <w:sz w:val="20"/>
        </w:rPr>
        <w:t>──────────────────────────────────────────────────────────</w:t>
      </w:r>
    </w:p>
    <w:p/>
    <w:p>
      <w:pPr>
        <w:spacing w:before="120" w:after="40"/>
      </w:pPr>
      <w:r>
        <w:rPr>
          <w:rFonts w:ascii="Calibri" w:hAnsi="Calibri"/>
          <w:b/>
          <w:i w:val="0"/>
          <w:sz w:val="22"/>
        </w:rPr>
        <w:t>Lululemon at a glance:</w:t>
      </w:r>
    </w:p>
    <w:p>
      <w:pPr>
        <w:pStyle w:val="ListBullet"/>
      </w:pPr>
      <w:r>
        <w:rPr>
          <w:rFonts w:ascii="Calibri" w:hAnsi="Calibri"/>
          <w:b w:val="0"/>
          <w:i w:val="0"/>
          <w:sz w:val="20"/>
        </w:rPr>
        <w:t>Founded 1998 in Vancouver, Canada. Publicly traded (NASDAQ: LULU)</w:t>
      </w:r>
    </w:p>
    <w:p>
      <w:pPr>
        <w:pStyle w:val="ListBullet"/>
      </w:pPr>
      <w:r>
        <w:rPr>
          <w:rFonts w:ascii="Calibri" w:hAnsi="Calibri"/>
          <w:b w:val="0"/>
          <w:i w:val="0"/>
          <w:sz w:val="20"/>
        </w:rPr>
        <w:t>CEO: Calvin McDonald (stepping down January 31, 2026; successor search underway)</w:t>
      </w:r>
    </w:p>
    <w:p>
      <w:pPr>
        <w:pStyle w:val="ListBullet"/>
      </w:pPr>
      <w:r>
        <w:rPr>
          <w:rFonts w:ascii="Calibri" w:hAnsi="Calibri"/>
          <w:b w:val="0"/>
          <w:i w:val="0"/>
          <w:sz w:val="20"/>
        </w:rPr>
        <w:t>Chief AI &amp; Technology Officer: Ranju Das (first CAITO, appointed August 2025, former CEO of Swan AI Studios)</w:t>
      </w:r>
    </w:p>
    <w:p>
      <w:pPr>
        <w:pStyle w:val="ListBullet"/>
      </w:pPr>
      <w:r>
        <w:rPr>
          <w:rFonts w:ascii="Calibri" w:hAnsi="Calibri"/>
          <w:b w:val="0"/>
          <w:i w:val="0"/>
          <w:sz w:val="20"/>
        </w:rPr>
        <w:t>Former CIO: Julie Averill (departed September 2025 after 8 years of technology transformation)</w:t>
      </w:r>
    </w:p>
    <w:p>
      <w:pPr>
        <w:pStyle w:val="ListBullet"/>
      </w:pPr>
      <w:r>
        <w:rPr>
          <w:rFonts w:ascii="Calibri" w:hAnsi="Calibri"/>
          <w:b w:val="0"/>
          <w:i w:val="0"/>
          <w:sz w:val="20"/>
        </w:rPr>
        <w:t>Revenue: $10.59B (fiscal 2024), up 11% YoY. First time exceeding $10B</w:t>
      </w:r>
    </w:p>
    <w:p>
      <w:pPr>
        <w:pStyle w:val="ListBullet"/>
      </w:pPr>
      <w:r>
        <w:rPr>
          <w:rFonts w:ascii="Calibri" w:hAnsi="Calibri"/>
          <w:b w:val="0"/>
          <w:i w:val="0"/>
          <w:sz w:val="20"/>
        </w:rPr>
        <w:t>US revenue: ~65% of total. International: ~35% and growing rapidly</w:t>
      </w:r>
    </w:p>
    <w:p>
      <w:pPr>
        <w:pStyle w:val="ListBullet"/>
      </w:pPr>
      <w:r>
        <w:rPr>
          <w:rFonts w:ascii="Calibri" w:hAnsi="Calibri"/>
          <w:b w:val="0"/>
          <w:i w:val="0"/>
          <w:sz w:val="20"/>
        </w:rPr>
        <w:t>China revenue: 16% of global (up from 13%), grew 29% in fiscal 2025</w:t>
      </w:r>
    </w:p>
    <w:p>
      <w:pPr>
        <w:pStyle w:val="ListBullet"/>
      </w:pPr>
      <w:r>
        <w:rPr>
          <w:rFonts w:ascii="Calibri" w:hAnsi="Calibri"/>
          <w:b w:val="0"/>
          <w:i w:val="0"/>
          <w:sz w:val="20"/>
        </w:rPr>
        <w:t>E-commerce: ~39% of total revenue (~$4.1B digital)</w:t>
      </w:r>
    </w:p>
    <w:p>
      <w:pPr>
        <w:pStyle w:val="ListBullet"/>
      </w:pPr>
      <w:r>
        <w:rPr>
          <w:rFonts w:ascii="Calibri" w:hAnsi="Calibri"/>
          <w:b w:val="0"/>
          <w:i w:val="0"/>
          <w:sz w:val="20"/>
        </w:rPr>
        <w:t>767 stores across 25+ countries. 170+ stores in China</w:t>
      </w:r>
    </w:p>
    <w:p>
      <w:pPr>
        <w:pStyle w:val="ListBullet"/>
      </w:pPr>
      <w:r>
        <w:rPr>
          <w:rFonts w:ascii="Calibri" w:hAnsi="Calibri"/>
          <w:b w:val="0"/>
          <w:i w:val="0"/>
          <w:sz w:val="20"/>
        </w:rPr>
        <w:t>Power of Three x2 strategy targets $12.5B revenue by 2026</w:t>
      </w:r>
    </w:p>
    <w:p>
      <w:pPr>
        <w:pStyle w:val="ListBullet"/>
      </w:pPr>
      <w:r>
        <w:rPr>
          <w:rFonts w:ascii="Calibri" w:hAnsi="Calibri"/>
          <w:b w:val="0"/>
          <w:i w:val="0"/>
          <w:sz w:val="20"/>
        </w:rPr>
        <w:t>Planning 40-45 new stores in 2025 (majority in China)</w:t>
      </w:r>
    </w:p>
    <w:p>
      <w:pPr>
        <w:pStyle w:val="ListBullet"/>
      </w:pPr>
      <w:r>
        <w:rPr>
          <w:rFonts w:ascii="Calibri" w:hAnsi="Calibri"/>
          <w:b w:val="0"/>
          <w:i w:val="0"/>
          <w:sz w:val="20"/>
        </w:rPr>
        <w:t>Entering 6 new markets in 2026: Italy (company-owned), Denmark, Belgium, Turkey, Czech Republic (franchise)</w:t>
      </w:r>
    </w:p>
    <w:p>
      <w:pPr>
        <w:pStyle w:val="ListBullet"/>
      </w:pPr>
      <w:r>
        <w:rPr>
          <w:rFonts w:ascii="Calibri" w:hAnsi="Calibri"/>
          <w:b w:val="0"/>
          <w:i w:val="0"/>
          <w:sz w:val="20"/>
        </w:rPr>
        <w:t>Primary PSP: Adyen (confirmed case study, global acquiring + POS across 15+ markets)</w:t>
      </w:r>
    </w:p>
    <w:p>
      <w:pPr>
        <w:spacing w:before="120" w:after="40"/>
      </w:pPr>
      <w:r>
        <w:rPr>
          <w:rFonts w:ascii="Calibri" w:hAnsi="Calibri"/>
          <w:b/>
          <w:i w:val="0"/>
          <w:sz w:val="22"/>
        </w:rPr>
        <w:t>Confirmed PSPs and payment partners:</w:t>
      </w:r>
    </w:p>
    <w:tbl>
      <w:tblPr>
        <w:tblStyle w:val="TableGrid"/>
        <w:tblW w:type="auto" w:w="0"/>
        <w:tblLook w:firstColumn="1" w:firstRow="1" w:lastColumn="0" w:lastRow="0" w:noHBand="0" w:noVBand="1" w:val="04A0"/>
      </w:tblPr>
      <w:tblGrid>
        <w:gridCol w:w="2880"/>
        <w:gridCol w:w="2880"/>
        <w:gridCol w:w="2880"/>
      </w:tblGrid>
      <w:tr>
        <w:tc>
          <w:tcPr>
            <w:tcW w:type="dxa" w:w="2880"/>
            <w:shd w:fill="E8E5FF" w:val="clear"/>
          </w:tcPr>
          <w:p>
            <w:r>
              <w:rPr>
                <w:rFonts w:ascii="Calibri" w:hAnsi="Calibri"/>
                <w:b/>
                <w:i w:val="0"/>
                <w:color w:val="5B4CFF"/>
                <w:sz w:val="18"/>
              </w:rPr>
              <w:t>Provider</w:t>
            </w:r>
          </w:p>
        </w:tc>
        <w:tc>
          <w:tcPr>
            <w:tcW w:type="dxa" w:w="2880"/>
            <w:shd w:fill="E8E5FF" w:val="clear"/>
          </w:tcPr>
          <w:p>
            <w:r>
              <w:rPr>
                <w:rFonts w:ascii="Calibri" w:hAnsi="Calibri"/>
                <w:b/>
                <w:i w:val="0"/>
                <w:color w:val="5B4CFF"/>
                <w:sz w:val="18"/>
              </w:rPr>
              <w:t>Role</w:t>
            </w:r>
          </w:p>
        </w:tc>
        <w:tc>
          <w:tcPr>
            <w:tcW w:type="dxa" w:w="2880"/>
            <w:shd w:fill="E8E5FF" w:val="clear"/>
          </w:tcPr>
          <w:p>
            <w:r>
              <w:rPr>
                <w:rFonts w:ascii="Calibri" w:hAnsi="Calibri"/>
                <w:b/>
                <w:i w:val="0"/>
                <w:color w:val="5B4CFF"/>
                <w:sz w:val="18"/>
              </w:rPr>
              <w:t>Region</w:t>
            </w:r>
          </w:p>
        </w:tc>
      </w:tr>
      <w:tr>
        <w:tc>
          <w:tcPr>
            <w:tcW w:type="dxa" w:w="2880"/>
          </w:tcPr>
          <w:p>
            <w:r>
              <w:rPr>
                <w:rFonts w:ascii="Calibri" w:hAnsi="Calibri"/>
                <w:b w:val="0"/>
                <w:i w:val="0"/>
                <w:sz w:val="18"/>
              </w:rPr>
              <w:t>Adyen</w:t>
            </w:r>
          </w:p>
        </w:tc>
        <w:tc>
          <w:tcPr>
            <w:tcW w:type="dxa" w:w="2880"/>
          </w:tcPr>
          <w:p>
            <w:r>
              <w:rPr>
                <w:rFonts w:ascii="Calibri" w:hAnsi="Calibri"/>
                <w:b w:val="0"/>
                <w:i w:val="0"/>
                <w:sz w:val="18"/>
              </w:rPr>
              <w:t>Primary PSP (global acquiring, POS, online)</w:t>
            </w:r>
          </w:p>
        </w:tc>
        <w:tc>
          <w:tcPr>
            <w:tcW w:type="dxa" w:w="2880"/>
          </w:tcPr>
          <w:p>
            <w:r>
              <w:rPr>
                <w:rFonts w:ascii="Calibri" w:hAnsi="Calibri"/>
                <w:b w:val="0"/>
                <w:i w:val="0"/>
                <w:sz w:val="18"/>
              </w:rPr>
              <w:t>15+ markets globally</w:t>
            </w:r>
          </w:p>
        </w:tc>
      </w:tr>
      <w:tr>
        <w:tc>
          <w:tcPr>
            <w:tcW w:type="dxa" w:w="2880"/>
            <w:shd w:fill="F2F2F2" w:val="clear"/>
          </w:tcPr>
          <w:p>
            <w:r>
              <w:rPr>
                <w:rFonts w:ascii="Calibri" w:hAnsi="Calibri"/>
                <w:b w:val="0"/>
                <w:i w:val="0"/>
                <w:sz w:val="18"/>
              </w:rPr>
              <w:t>Afterpay (Block)</w:t>
            </w:r>
          </w:p>
        </w:tc>
        <w:tc>
          <w:tcPr>
            <w:tcW w:type="dxa" w:w="2880"/>
            <w:shd w:fill="F2F2F2" w:val="clear"/>
          </w:tcPr>
          <w:p>
            <w:r>
              <w:rPr>
                <w:rFonts w:ascii="Calibri" w:hAnsi="Calibri"/>
                <w:b w:val="0"/>
                <w:i w:val="0"/>
                <w:sz w:val="18"/>
              </w:rPr>
              <w:t>BNPL (4 installments)</w:t>
            </w:r>
          </w:p>
        </w:tc>
        <w:tc>
          <w:tcPr>
            <w:tcW w:type="dxa" w:w="2880"/>
            <w:shd w:fill="F2F2F2" w:val="clear"/>
          </w:tcPr>
          <w:p>
            <w:r>
              <w:rPr>
                <w:rFonts w:ascii="Calibri" w:hAnsi="Calibri"/>
                <w:b w:val="0"/>
                <w:i w:val="0"/>
                <w:sz w:val="18"/>
              </w:rPr>
              <w:t>US, Canada, Australia</w:t>
            </w:r>
          </w:p>
        </w:tc>
      </w:tr>
      <w:tr>
        <w:tc>
          <w:tcPr>
            <w:tcW w:type="dxa" w:w="2880"/>
          </w:tcPr>
          <w:p>
            <w:r>
              <w:rPr>
                <w:rFonts w:ascii="Calibri" w:hAnsi="Calibri"/>
                <w:b w:val="0"/>
                <w:i w:val="0"/>
                <w:sz w:val="18"/>
              </w:rPr>
              <w:t>Klarna</w:t>
            </w:r>
          </w:p>
        </w:tc>
        <w:tc>
          <w:tcPr>
            <w:tcW w:type="dxa" w:w="2880"/>
          </w:tcPr>
          <w:p>
            <w:r>
              <w:rPr>
                <w:rFonts w:ascii="Calibri" w:hAnsi="Calibri"/>
                <w:b w:val="0"/>
                <w:i w:val="0"/>
                <w:sz w:val="18"/>
              </w:rPr>
              <w:t>BNPL (Pay in 4, Pay Later)</w:t>
            </w:r>
          </w:p>
        </w:tc>
        <w:tc>
          <w:tcPr>
            <w:tcW w:type="dxa" w:w="2880"/>
          </w:tcPr>
          <w:p>
            <w:r>
              <w:rPr>
                <w:rFonts w:ascii="Calibri" w:hAnsi="Calibri"/>
                <w:b w:val="0"/>
                <w:i w:val="0"/>
                <w:sz w:val="18"/>
              </w:rPr>
              <w:t>US, Canada, UK, Norway, EU</w:t>
            </w:r>
          </w:p>
        </w:tc>
      </w:tr>
      <w:tr>
        <w:tc>
          <w:tcPr>
            <w:tcW w:type="dxa" w:w="2880"/>
            <w:shd w:fill="F2F2F2" w:val="clear"/>
          </w:tcPr>
          <w:p>
            <w:r>
              <w:rPr>
                <w:rFonts w:ascii="Calibri" w:hAnsi="Calibri"/>
                <w:b w:val="0"/>
                <w:i w:val="0"/>
                <w:sz w:val="18"/>
              </w:rPr>
              <w:t>PayPal</w:t>
            </w:r>
          </w:p>
        </w:tc>
        <w:tc>
          <w:tcPr>
            <w:tcW w:type="dxa" w:w="2880"/>
            <w:shd w:fill="F2F2F2" w:val="clear"/>
          </w:tcPr>
          <w:p>
            <w:r>
              <w:rPr>
                <w:rFonts w:ascii="Calibri" w:hAnsi="Calibri"/>
                <w:b w:val="0"/>
                <w:i w:val="0"/>
                <w:sz w:val="18"/>
              </w:rPr>
              <w:t>Digital wallet</w:t>
            </w:r>
          </w:p>
        </w:tc>
        <w:tc>
          <w:tcPr>
            <w:tcW w:type="dxa" w:w="2880"/>
            <w:shd w:fill="F2F2F2" w:val="clear"/>
          </w:tcPr>
          <w:p>
            <w:r>
              <w:rPr>
                <w:rFonts w:ascii="Calibri" w:hAnsi="Calibri"/>
                <w:b w:val="0"/>
                <w:i w:val="0"/>
                <w:sz w:val="18"/>
              </w:rPr>
              <w:t>US, EU, global</w:t>
            </w:r>
          </w:p>
        </w:tc>
      </w:tr>
      <w:tr>
        <w:tc>
          <w:tcPr>
            <w:tcW w:type="dxa" w:w="2880"/>
          </w:tcPr>
          <w:p>
            <w:r>
              <w:rPr>
                <w:rFonts w:ascii="Calibri" w:hAnsi="Calibri"/>
                <w:b w:val="0"/>
                <w:i w:val="0"/>
                <w:sz w:val="18"/>
              </w:rPr>
              <w:t>Apple Pay</w:t>
            </w:r>
          </w:p>
        </w:tc>
        <w:tc>
          <w:tcPr>
            <w:tcW w:type="dxa" w:w="2880"/>
          </w:tcPr>
          <w:p>
            <w:r>
              <w:rPr>
                <w:rFonts w:ascii="Calibri" w:hAnsi="Calibri"/>
                <w:b w:val="0"/>
                <w:i w:val="0"/>
                <w:sz w:val="18"/>
              </w:rPr>
              <w:t>Mobile wallet (online + in-store)</w:t>
            </w:r>
          </w:p>
        </w:tc>
        <w:tc>
          <w:tcPr>
            <w:tcW w:type="dxa" w:w="2880"/>
          </w:tcPr>
          <w:p>
            <w:r>
              <w:rPr>
                <w:rFonts w:ascii="Calibri" w:hAnsi="Calibri"/>
                <w:b w:val="0"/>
                <w:i w:val="0"/>
                <w:sz w:val="18"/>
              </w:rPr>
              <w:t>US, EU, AU, global</w:t>
            </w:r>
          </w:p>
        </w:tc>
      </w:tr>
      <w:tr>
        <w:tc>
          <w:tcPr>
            <w:tcW w:type="dxa" w:w="2880"/>
            <w:shd w:fill="F2F2F2" w:val="clear"/>
          </w:tcPr>
          <w:p>
            <w:r>
              <w:rPr>
                <w:rFonts w:ascii="Calibri" w:hAnsi="Calibri"/>
                <w:b w:val="0"/>
                <w:i w:val="0"/>
                <w:sz w:val="18"/>
              </w:rPr>
              <w:t>Google Pay</w:t>
            </w:r>
          </w:p>
        </w:tc>
        <w:tc>
          <w:tcPr>
            <w:tcW w:type="dxa" w:w="2880"/>
            <w:shd w:fill="F2F2F2" w:val="clear"/>
          </w:tcPr>
          <w:p>
            <w:r>
              <w:rPr>
                <w:rFonts w:ascii="Calibri" w:hAnsi="Calibri"/>
                <w:b w:val="0"/>
                <w:i w:val="0"/>
                <w:sz w:val="18"/>
              </w:rPr>
              <w:t>Mobile wallet</w:t>
            </w:r>
          </w:p>
        </w:tc>
        <w:tc>
          <w:tcPr>
            <w:tcW w:type="dxa" w:w="2880"/>
            <w:shd w:fill="F2F2F2" w:val="clear"/>
          </w:tcPr>
          <w:p>
            <w:r>
              <w:rPr>
                <w:rFonts w:ascii="Calibri" w:hAnsi="Calibri"/>
                <w:b w:val="0"/>
                <w:i w:val="0"/>
                <w:sz w:val="18"/>
              </w:rPr>
              <w:t>US, EU (Poland, Norway), AU</w:t>
            </w:r>
          </w:p>
        </w:tc>
      </w:tr>
      <w:tr>
        <w:tc>
          <w:tcPr>
            <w:tcW w:type="dxa" w:w="2880"/>
          </w:tcPr>
          <w:p>
            <w:r>
              <w:rPr>
                <w:rFonts w:ascii="Calibri" w:hAnsi="Calibri"/>
                <w:b w:val="0"/>
                <w:i w:val="0"/>
                <w:sz w:val="18"/>
              </w:rPr>
              <w:t>Vipps</w:t>
            </w:r>
          </w:p>
        </w:tc>
        <w:tc>
          <w:tcPr>
            <w:tcW w:type="dxa" w:w="2880"/>
          </w:tcPr>
          <w:p>
            <w:r>
              <w:rPr>
                <w:rFonts w:ascii="Calibri" w:hAnsi="Calibri"/>
                <w:b w:val="0"/>
                <w:i w:val="0"/>
                <w:sz w:val="18"/>
              </w:rPr>
              <w:t>Mobile wallet</w:t>
            </w:r>
          </w:p>
        </w:tc>
        <w:tc>
          <w:tcPr>
            <w:tcW w:type="dxa" w:w="2880"/>
          </w:tcPr>
          <w:p>
            <w:r>
              <w:rPr>
                <w:rFonts w:ascii="Calibri" w:hAnsi="Calibri"/>
                <w:b w:val="0"/>
                <w:i w:val="0"/>
                <w:sz w:val="18"/>
              </w:rPr>
              <w:t>Norway</w:t>
            </w:r>
          </w:p>
        </w:tc>
      </w:tr>
      <w:tr>
        <w:tc>
          <w:tcPr>
            <w:tcW w:type="dxa" w:w="2880"/>
            <w:shd w:fill="F2F2F2" w:val="clear"/>
          </w:tcPr>
          <w:p>
            <w:r>
              <w:rPr>
                <w:rFonts w:ascii="Calibri" w:hAnsi="Calibri"/>
                <w:b w:val="0"/>
                <w:i w:val="0"/>
                <w:sz w:val="18"/>
              </w:rPr>
              <w:t>P24 (Przelewy24)</w:t>
            </w:r>
          </w:p>
        </w:tc>
        <w:tc>
          <w:tcPr>
            <w:tcW w:type="dxa" w:w="2880"/>
            <w:shd w:fill="F2F2F2" w:val="clear"/>
          </w:tcPr>
          <w:p>
            <w:r>
              <w:rPr>
                <w:rFonts w:ascii="Calibri" w:hAnsi="Calibri"/>
                <w:b w:val="0"/>
                <w:i w:val="0"/>
                <w:sz w:val="18"/>
              </w:rPr>
              <w:t>Bank transfer</w:t>
            </w:r>
          </w:p>
        </w:tc>
        <w:tc>
          <w:tcPr>
            <w:tcW w:type="dxa" w:w="2880"/>
            <w:shd w:fill="F2F2F2" w:val="clear"/>
          </w:tcPr>
          <w:p>
            <w:r>
              <w:rPr>
                <w:rFonts w:ascii="Calibri" w:hAnsi="Calibri"/>
                <w:b w:val="0"/>
                <w:i w:val="0"/>
                <w:sz w:val="18"/>
              </w:rPr>
              <w:t>Poland</w:t>
            </w:r>
          </w:p>
        </w:tc>
      </w:tr>
      <w:tr>
        <w:tc>
          <w:tcPr>
            <w:tcW w:type="dxa" w:w="2880"/>
          </w:tcPr>
          <w:p>
            <w:r>
              <w:rPr>
                <w:rFonts w:ascii="Calibri" w:hAnsi="Calibri"/>
                <w:b w:val="0"/>
                <w:i w:val="0"/>
                <w:sz w:val="18"/>
              </w:rPr>
              <w:t>UnionPay</w:t>
            </w:r>
          </w:p>
        </w:tc>
        <w:tc>
          <w:tcPr>
            <w:tcW w:type="dxa" w:w="2880"/>
          </w:tcPr>
          <w:p>
            <w:r>
              <w:rPr>
                <w:rFonts w:ascii="Calibri" w:hAnsi="Calibri"/>
                <w:b w:val="0"/>
                <w:i w:val="0"/>
                <w:sz w:val="18"/>
              </w:rPr>
              <w:t>Card network</w:t>
            </w:r>
          </w:p>
        </w:tc>
        <w:tc>
          <w:tcPr>
            <w:tcW w:type="dxa" w:w="2880"/>
          </w:tcPr>
          <w:p>
            <w:r>
              <w:rPr>
                <w:rFonts w:ascii="Calibri" w:hAnsi="Calibri"/>
                <w:b w:val="0"/>
                <w:i w:val="0"/>
                <w:sz w:val="18"/>
              </w:rPr>
              <w:t>EU, China</w:t>
            </w:r>
          </w:p>
        </w:tc>
      </w:tr>
    </w:tbl>
    <w:p/>
    <w:p>
      <w:r>
        <w:rPr>
          <w:rFonts w:ascii="Calibri" w:hAnsi="Calibri"/>
          <w:b w:val="0"/>
          <w:i w:val="0"/>
          <w:sz w:val="20"/>
        </w:rPr>
        <w:t>No payment orchestrator detected. Adyen serves as the single global PSP. No multi-PSP routing or failover.</w:t>
      </w:r>
    </w:p>
    <w:p>
      <w:pPr>
        <w:spacing w:before="120" w:after="40"/>
      </w:pPr>
      <w:r>
        <w:rPr>
          <w:rFonts w:ascii="Calibri" w:hAnsi="Calibri"/>
          <w:b/>
          <w:i w:val="0"/>
          <w:sz w:val="22"/>
        </w:rPr>
        <w:t>Top Markets Gap Analysis:</w:t>
      </w:r>
    </w:p>
    <w:p>
      <w:pPr>
        <w:spacing w:before="80"/>
      </w:pPr>
      <w:r>
        <w:rPr>
          <w:rFonts w:ascii="Calibri" w:hAnsi="Calibri"/>
          <w:b/>
          <w:i w:val="0"/>
          <w:sz w:val="20"/>
        </w:rPr>
        <w:t>MARKET 1: United States (~65% of revenue, 370+ stores)</w:t>
      </w:r>
    </w:p>
    <w:p>
      <w:r>
        <w:rPr>
          <w:rFonts w:ascii="Calibri" w:hAnsi="Calibri"/>
          <w:b w:val="0"/>
          <w:i w:val="0"/>
          <w:sz w:val="20"/>
        </w:rPr>
        <w:t xml:space="preserve">  Accepted: Visa/MC/Amex/Discover/JCB, PayPal, Apple Pay, Google Pay, Afterpay, Klarna, gift cards</w:t>
      </w:r>
    </w:p>
    <w:p>
      <w:r>
        <w:rPr>
          <w:rFonts w:ascii="Calibri" w:hAnsi="Calibri"/>
          <w:b w:val="0"/>
          <w:i w:val="0"/>
          <w:sz w:val="20"/>
        </w:rPr>
        <w:t xml:space="preserve">  Missing: Venmo, Cash App Pay, Amazon Pay, Sezzle, Affirm</w:t>
      </w:r>
    </w:p>
    <w:p>
      <w:r>
        <w:rPr>
          <w:rFonts w:ascii="Calibri" w:hAnsi="Calibri"/>
          <w:b w:val="0"/>
          <w:i w:val="0"/>
          <w:sz w:val="20"/>
        </w:rPr>
        <w:t xml:space="preserve">  Insight: 39% of US revenue is digital. Dual BNPL (Afterpay + Klarna) creates reconciliation complexity. No wallet diversity beyond Apple Pay and Google Pay.</w:t>
      </w:r>
    </w:p>
    <w:p>
      <w:pPr>
        <w:spacing w:before="80"/>
      </w:pPr>
      <w:r>
        <w:rPr>
          <w:rFonts w:ascii="Calibri" w:hAnsi="Calibri"/>
          <w:b/>
          <w:i w:val="0"/>
          <w:sz w:val="20"/>
        </w:rPr>
        <w:t>MARKET 2: China Mainland (~16% of revenue, 170+ stores, fastest-growing market)</w:t>
      </w:r>
    </w:p>
    <w:p>
      <w:r>
        <w:rPr>
          <w:rFonts w:ascii="Calibri" w:hAnsi="Calibri"/>
          <w:b w:val="0"/>
          <w:i w:val="0"/>
          <w:sz w:val="20"/>
        </w:rPr>
        <w:t xml:space="preserve">  Accepted: Alipay, WeChat Pay (via Adyen), UnionPay, credit cards</w:t>
      </w:r>
    </w:p>
    <w:p>
      <w:r>
        <w:rPr>
          <w:rFonts w:ascii="Calibri" w:hAnsi="Calibri"/>
          <w:b w:val="0"/>
          <w:i w:val="0"/>
          <w:sz w:val="20"/>
        </w:rPr>
        <w:t xml:space="preserve">  Missing: Huabei (Alipay BNPL), JD Baitiao (JD BNPL), Douyin Pay, bank direct debit</w:t>
      </w:r>
    </w:p>
    <w:p>
      <w:r>
        <w:rPr>
          <w:rFonts w:ascii="Calibri" w:hAnsi="Calibri"/>
          <w:b w:val="0"/>
          <w:i w:val="0"/>
          <w:sz w:val="20"/>
        </w:rPr>
        <w:t xml:space="preserve">  Insight: 29% revenue growth. Tmall, WeChat Mini Programs, and Douyin all require separate payment integrations. Alipay and WeChat Pay handle 90%+ of Chinese digital payments. Coverage depth and cross-platform visibility are the real challenge.</w:t>
      </w:r>
    </w:p>
    <w:p>
      <w:pPr>
        <w:spacing w:before="80"/>
      </w:pPr>
      <w:r>
        <w:rPr>
          <w:rFonts w:ascii="Calibri" w:hAnsi="Calibri"/>
          <w:b/>
          <w:i w:val="0"/>
          <w:sz w:val="20"/>
        </w:rPr>
        <w:t>MARKET 3: Canada (company-owned stores + e-commerce, founded here)</w:t>
      </w:r>
    </w:p>
    <w:p>
      <w:r>
        <w:rPr>
          <w:rFonts w:ascii="Calibri" w:hAnsi="Calibri"/>
          <w:b w:val="0"/>
          <w:i w:val="0"/>
          <w:sz w:val="20"/>
        </w:rPr>
        <w:t xml:space="preserve">  Accepted: Visa/MC/Amex, PayPal, Apple Pay, Google Pay, Afterpay, Klarna</w:t>
      </w:r>
    </w:p>
    <w:p>
      <w:r>
        <w:rPr>
          <w:rFonts w:ascii="Calibri" w:hAnsi="Calibri"/>
          <w:b w:val="0"/>
          <w:i w:val="0"/>
          <w:sz w:val="20"/>
        </w:rPr>
        <w:t xml:space="preserve">  Missing: Interac Online, Affirm Canada</w:t>
      </w:r>
    </w:p>
    <w:p>
      <w:r>
        <w:rPr>
          <w:rFonts w:ascii="Calibri" w:hAnsi="Calibri"/>
          <w:b w:val="0"/>
          <w:i w:val="0"/>
          <w:sz w:val="20"/>
        </w:rPr>
        <w:t xml:space="preserve">  Insight: Home market but no Interac (Canada's most used online debit). Afterpay and Klarna both available but Affirm (growing in CA) is absent.</w:t>
      </w:r>
    </w:p>
    <w:p>
      <w:pPr>
        <w:spacing w:before="80"/>
      </w:pPr>
      <w:r>
        <w:rPr>
          <w:rFonts w:ascii="Calibri" w:hAnsi="Calibri"/>
          <w:b/>
          <w:i w:val="0"/>
          <w:sz w:val="20"/>
        </w:rPr>
        <w:t>MARKET 4: Europe (UK, Germany, France, Spain, Netherlands, Poland, Norway, Switzerland, plus 5 new markets in 2026)</w:t>
      </w:r>
    </w:p>
    <w:p>
      <w:r>
        <w:rPr>
          <w:rFonts w:ascii="Calibri" w:hAnsi="Calibri"/>
          <w:b w:val="0"/>
          <w:i w:val="0"/>
          <w:sz w:val="20"/>
        </w:rPr>
        <w:t xml:space="preserve">  Accepted: Visa/MC/Amex/JCB, PayPal, Apple Pay, Google Pay, Klarna (select), Vipps (NO), P24 (PL), UnionPay</w:t>
      </w:r>
    </w:p>
    <w:p>
      <w:r>
        <w:rPr>
          <w:rFonts w:ascii="Calibri" w:hAnsi="Calibri"/>
          <w:b w:val="0"/>
          <w:i w:val="0"/>
          <w:sz w:val="20"/>
        </w:rPr>
        <w:t xml:space="preserve">  Missing: iDEAL (NL), Bancontact (BE), Sofort (DE/AT), Bizum (ES), MB Way (PT), Twint (CH), Carte Bancaire (FR), Open Banking (UK)</w:t>
      </w:r>
    </w:p>
    <w:p>
      <w:r>
        <w:rPr>
          <w:rFonts w:ascii="Calibri" w:hAnsi="Calibri"/>
          <w:b w:val="0"/>
          <w:i w:val="0"/>
          <w:sz w:val="20"/>
        </w:rPr>
        <w:t xml:space="preserve">  Insight: Europe is a patchwork of local methods. Each of the 6 new 2026 markets will need country-specific payment methods. Adyen supports many, but activation speed and routing optimization across 15+ EU countries requires orchestration.</w:t>
      </w:r>
    </w:p>
    <w:p>
      <w:pPr>
        <w:spacing w:before="80"/>
      </w:pPr>
      <w:r>
        <w:rPr>
          <w:rFonts w:ascii="Calibri" w:hAnsi="Calibri"/>
          <w:b/>
          <w:i w:val="0"/>
          <w:sz w:val="20"/>
        </w:rPr>
        <w:t>MARKET 5: Australia/New Zealand (company-owned stores)</w:t>
      </w:r>
    </w:p>
    <w:p>
      <w:r>
        <w:rPr>
          <w:rFonts w:ascii="Calibri" w:hAnsi="Calibri"/>
          <w:b w:val="0"/>
          <w:i w:val="0"/>
          <w:sz w:val="20"/>
        </w:rPr>
        <w:t xml:space="preserve">  Accepted: Visa/MC/Amex, PayPal, Apple Pay, Google Pay, Afterpay, Klarna</w:t>
      </w:r>
    </w:p>
    <w:p>
      <w:r>
        <w:rPr>
          <w:rFonts w:ascii="Calibri" w:hAnsi="Calibri"/>
          <w:b w:val="0"/>
          <w:i w:val="0"/>
          <w:sz w:val="20"/>
        </w:rPr>
        <w:t xml:space="preserve">  Missing: POLi, PayID, Zip (AU)</w:t>
      </w:r>
    </w:p>
    <w:p>
      <w:r>
        <w:rPr>
          <w:rFonts w:ascii="Calibri" w:hAnsi="Calibri"/>
          <w:b w:val="0"/>
          <w:i w:val="0"/>
          <w:sz w:val="20"/>
        </w:rPr>
        <w:t xml:space="preserve">  Insight: Australia is well-served with Afterpay (dominant AU BNPL). One of the few international markets with strong local method coverage.</w:t>
      </w:r>
    </w:p>
    <w:p>
      <w:pPr>
        <w:spacing w:before="80"/>
      </w:pPr>
      <w:r>
        <w:rPr>
          <w:rFonts w:ascii="Calibri" w:hAnsi="Calibri"/>
          <w:b/>
          <w:i w:val="0"/>
          <w:sz w:val="20"/>
        </w:rPr>
        <w:t>MARKET 6: Japan/South Korea (company-owned stores)</w:t>
      </w:r>
    </w:p>
    <w:p>
      <w:r>
        <w:rPr>
          <w:rFonts w:ascii="Calibri" w:hAnsi="Calibri"/>
          <w:b w:val="0"/>
          <w:i w:val="0"/>
          <w:sz w:val="20"/>
        </w:rPr>
        <w:t xml:space="preserve">  Accepted: Visa/MC/Amex/JCB, Apple Pay</w:t>
      </w:r>
    </w:p>
    <w:p>
      <w:r>
        <w:rPr>
          <w:rFonts w:ascii="Calibri" w:hAnsi="Calibri"/>
          <w:b w:val="0"/>
          <w:i w:val="0"/>
          <w:sz w:val="20"/>
        </w:rPr>
        <w:t xml:space="preserve">  Missing: Konbini (JP), PayPay (JP), LINE Pay (JP), Rakuten Pay (JP), KakaoPay (KR), Naver Pay (KR), Toss (KR)</w:t>
      </w:r>
    </w:p>
    <w:p>
      <w:r>
        <w:rPr>
          <w:rFonts w:ascii="Calibri" w:hAnsi="Calibri"/>
          <w:b w:val="0"/>
          <w:i w:val="0"/>
          <w:sz w:val="20"/>
        </w:rPr>
        <w:t xml:space="preserve">  Insight: Japan and South Korea have unique payment ecosystems. Konbini (convenience store payments) is critical for Japanese online shoppers. KakaoPay dominates Korean mobile payments. Card-only approach loses significant conversion.</w:t>
      </w:r>
    </w:p>
    <w:p>
      <w:pPr>
        <w:spacing w:before="80"/>
      </w:pPr>
      <w:r>
        <w:rPr>
          <w:rFonts w:ascii="Calibri" w:hAnsi="Calibri"/>
          <w:b/>
          <w:i w:val="0"/>
          <w:sz w:val="20"/>
        </w:rPr>
        <w:t>MARKET 7: Franchise Markets (Middle East, Southeast Asia, Latin America)</w:t>
      </w:r>
    </w:p>
    <w:p>
      <w:r>
        <w:rPr>
          <w:rFonts w:ascii="Calibri" w:hAnsi="Calibri"/>
          <w:b w:val="0"/>
          <w:i w:val="0"/>
          <w:sz w:val="20"/>
        </w:rPr>
        <w:t xml:space="preserve">  Accepted: Visa/MC (through franchise operators)</w:t>
      </w:r>
    </w:p>
    <w:p>
      <w:r>
        <w:rPr>
          <w:rFonts w:ascii="Calibri" w:hAnsi="Calibri"/>
          <w:b w:val="0"/>
          <w:i w:val="0"/>
          <w:sz w:val="20"/>
        </w:rPr>
        <w:t xml:space="preserve">  Missing: Mada (SA), Tamara (SA/UAE), Tabby (UAE), GCash (PH), DANA (ID), PIX (BR), OXXO (MX)</w:t>
      </w:r>
    </w:p>
    <w:p>
      <w:r>
        <w:rPr>
          <w:rFonts w:ascii="Calibri" w:hAnsi="Calibri"/>
          <w:b w:val="0"/>
          <w:i w:val="0"/>
          <w:sz w:val="20"/>
        </w:rPr>
        <w:t xml:space="preserve">  Insight: Franchise operators control payment stack. Lululemon has limited visibility into performance. Mexico expansion (stores opening) needs OXXO and SPEI for online conversion.</w:t>
      </w:r>
    </w:p>
    <w:p>
      <w:pPr>
        <w:spacing w:before="120" w:after="40"/>
      </w:pPr>
      <w:r>
        <w:rPr>
          <w:rFonts w:ascii="Calibri" w:hAnsi="Calibri"/>
          <w:b/>
          <w:i w:val="0"/>
          <w:sz w:val="22"/>
        </w:rPr>
        <w:t>Payment and checkout error history:</w:t>
      </w:r>
    </w:p>
    <w:p>
      <w:pPr>
        <w:pStyle w:val="ListBullet"/>
      </w:pPr>
      <w:r>
        <w:rPr>
          <w:rFonts w:ascii="Calibri" w:hAnsi="Calibri"/>
          <w:b w:val="0"/>
          <w:i w:val="0"/>
          <w:sz w:val="20"/>
        </w:rPr>
        <w:t>October 2025: North American site displayed incorrect sale prices during checkout, customers charged full price</w:t>
      </w:r>
    </w:p>
    <w:p>
      <w:pPr>
        <w:pStyle w:val="ListBullet"/>
      </w:pPr>
      <w:r>
        <w:rPr>
          <w:rFonts w:ascii="Calibri" w:hAnsi="Calibri"/>
          <w:b w:val="0"/>
          <w:i w:val="0"/>
          <w:sz w:val="20"/>
        </w:rPr>
        <w:t>Gift card balance disappearances after single transactions (BBB documented)</w:t>
      </w:r>
    </w:p>
    <w:p>
      <w:pPr>
        <w:pStyle w:val="ListBullet"/>
      </w:pPr>
      <w:r>
        <w:rPr>
          <w:rFonts w:ascii="Calibri" w:hAnsi="Calibri"/>
          <w:b w:val="0"/>
          <w:i w:val="0"/>
          <w:sz w:val="20"/>
        </w:rPr>
        <w:t>Multiple authorization holds without order confirmation</w:t>
      </w:r>
    </w:p>
    <w:p>
      <w:pPr>
        <w:pStyle w:val="ListBullet"/>
      </w:pPr>
      <w:r>
        <w:rPr>
          <w:rFonts w:ascii="Calibri" w:hAnsi="Calibri"/>
          <w:b w:val="0"/>
          <w:i w:val="0"/>
          <w:sz w:val="20"/>
        </w:rPr>
        <w:t>Discount code application failures at checkout step</w:t>
      </w:r>
    </w:p>
    <w:p>
      <w:pPr>
        <w:pStyle w:val="ListBullet"/>
      </w:pPr>
      <w:r>
        <w:rPr>
          <w:rFonts w:ascii="Calibri" w:hAnsi="Calibri"/>
          <w:b w:val="0"/>
          <w:i w:val="0"/>
          <w:sz w:val="20"/>
        </w:rPr>
        <w:t>Pricing system errors across web and app simultaneously</w:t>
      </w:r>
    </w:p>
    <w:p>
      <w:pPr>
        <w:spacing w:before="120" w:after="40"/>
      </w:pPr>
      <w:r>
        <w:rPr>
          <w:rFonts w:ascii="Calibri" w:hAnsi="Calibri"/>
          <w:b/>
          <w:i w:val="0"/>
          <w:sz w:val="22"/>
        </w:rPr>
        <w:t>Key meeting angles:</w:t>
      </w:r>
    </w:p>
    <w:p>
      <w:pPr>
        <w:spacing w:before="40"/>
      </w:pPr>
      <w:r>
        <w:rPr>
          <w:rFonts w:ascii="Calibri" w:hAnsi="Calibri"/>
          <w:b w:val="0"/>
          <w:i w:val="0"/>
          <w:sz w:val="20"/>
        </w:rPr>
        <w:t>Single-PSP risk at $10.6B | Adyen processes everything. Zero failover means every Adyen outage or decline is unrecoverable. Yuno adds cascade retries and multi-PSP routing without replacing Adyen.</w:t>
      </w:r>
    </w:p>
    <w:p>
      <w:pPr>
        <w:spacing w:before="40"/>
      </w:pPr>
      <w:r>
        <w:rPr>
          <w:rFonts w:ascii="Calibri" w:hAnsi="Calibri"/>
          <w:b w:val="0"/>
          <w:i w:val="0"/>
          <w:sz w:val="20"/>
        </w:rPr>
        <w:t>China = 16% and growing at 29% | The most important growth market has the most complex payment ecosystem. Orchestration across Tmall, WeChat, Douyin, and Alipay is critical.</w:t>
      </w:r>
    </w:p>
    <w:p>
      <w:pPr>
        <w:spacing w:before="40"/>
      </w:pPr>
      <w:r>
        <w:rPr>
          <w:rFonts w:ascii="Calibri" w:hAnsi="Calibri"/>
          <w:b w:val="0"/>
          <w:i w:val="0"/>
          <w:sz w:val="20"/>
        </w:rPr>
        <w:t>6 new markets in 2026 | Italy, Denmark, Belgium, Turkey, Czech Republic. Each needs local methods. An orchestrator pre-connects them all instantly.</w:t>
      </w:r>
    </w:p>
    <w:p>
      <w:pPr>
        <w:spacing w:before="40"/>
      </w:pPr>
      <w:r>
        <w:rPr>
          <w:rFonts w:ascii="Calibri" w:hAnsi="Calibri"/>
          <w:b w:val="0"/>
          <w:i w:val="0"/>
          <w:sz w:val="20"/>
        </w:rPr>
        <w:t>CEO transition = window of opportunity | Calvin McDonald stepping down Jan 2026. New CAITO Ranju Das is AI-focused. Payment orchestration aligns with the AI/optimization mandate.</w:t>
      </w:r>
    </w:p>
    <w:p>
      <w:pPr>
        <w:spacing w:before="40"/>
      </w:pPr>
      <w:r>
        <w:rPr>
          <w:rFonts w:ascii="Calibri" w:hAnsi="Calibri"/>
          <w:b w:val="0"/>
          <w:i w:val="0"/>
          <w:sz w:val="20"/>
        </w:rPr>
        <w:t>High-AOV athletic apparel | $100+ average transaction. Every false decline costs more than fast fashion. Smart routing ROI is significant.</w:t>
      </w:r>
    </w:p>
    <w:p>
      <w:pPr>
        <w:spacing w:before="40"/>
      </w:pPr>
      <w:r>
        <w:rPr>
          <w:rFonts w:ascii="Calibri" w:hAnsi="Calibri"/>
          <w:b w:val="0"/>
          <w:i w:val="0"/>
          <w:sz w:val="20"/>
        </w:rPr>
        <w:t>Japan + Korea = APM desert | Company-owned stores with card-only checkout in markets where Konbini and KakaoPay dominate.</w:t>
      </w:r>
    </w:p>
    <w:p>
      <w:pPr>
        <w:spacing w:before="40"/>
      </w:pPr>
      <w:r>
        <w:rPr>
          <w:rFonts w:ascii="Calibri" w:hAnsi="Calibri"/>
          <w:b w:val="0"/>
          <w:i w:val="0"/>
          <w:sz w:val="20"/>
        </w:rPr>
        <w:t>Power of Three x2 = $12.5B target | Revenue growth strategy requires international payment optimization to hit the 2026 revenue goal.</w:t>
      </w:r>
    </w:p>
    <w:p>
      <w:pPr>
        <w:spacing w:before="120" w:after="40"/>
      </w:pPr>
      <w:r>
        <w:rPr>
          <w:rFonts w:ascii="Calibri" w:hAnsi="Calibri"/>
          <w:b/>
          <w:i w:val="0"/>
          <w:sz w:val="22"/>
        </w:rPr>
        <w:t>Sources:</w:t>
      </w:r>
    </w:p>
    <w:p>
      <w:pPr>
        <w:pStyle w:val="ListBullet"/>
      </w:pPr>
      <w:r>
        <w:rPr>
          <w:rFonts w:ascii="Calibri" w:hAnsi="Calibri"/>
          <w:b w:val="0"/>
          <w:i w:val="0"/>
          <w:sz w:val="20"/>
        </w:rPr>
        <w:t>Lululemon Payment Methods (US)</w:t>
      </w:r>
    </w:p>
    <w:p>
      <w:pPr>
        <w:pStyle w:val="ListBullet"/>
      </w:pPr>
      <w:r>
        <w:rPr>
          <w:rFonts w:ascii="Calibri" w:hAnsi="Calibri"/>
          <w:b w:val="0"/>
          <w:i w:val="0"/>
          <w:sz w:val="20"/>
        </w:rPr>
        <w:t>Lululemon Klarna &amp; Afterpay</w:t>
      </w:r>
    </w:p>
    <w:p>
      <w:pPr>
        <w:pStyle w:val="ListBullet"/>
      </w:pPr>
      <w:r>
        <w:rPr>
          <w:rFonts w:ascii="Calibri" w:hAnsi="Calibri"/>
          <w:b w:val="0"/>
          <w:i w:val="0"/>
          <w:sz w:val="20"/>
        </w:rPr>
        <w:t>Lululemon BNPL Landing Page</w:t>
      </w:r>
    </w:p>
    <w:p>
      <w:pPr>
        <w:pStyle w:val="ListBullet"/>
      </w:pPr>
      <w:r>
        <w:rPr>
          <w:rFonts w:ascii="Calibri" w:hAnsi="Calibri"/>
          <w:b w:val="0"/>
          <w:i w:val="0"/>
          <w:sz w:val="20"/>
        </w:rPr>
        <w:t>Lululemon EU Payment Methods</w:t>
      </w:r>
    </w:p>
    <w:p>
      <w:pPr>
        <w:pStyle w:val="ListBullet"/>
      </w:pPr>
      <w:r>
        <w:rPr>
          <w:rFonts w:ascii="Calibri" w:hAnsi="Calibri"/>
          <w:b w:val="0"/>
          <w:i w:val="0"/>
          <w:sz w:val="20"/>
        </w:rPr>
        <w:t>Lululemon Poland Payment Methods</w:t>
      </w:r>
    </w:p>
    <w:p>
      <w:pPr>
        <w:pStyle w:val="ListBullet"/>
      </w:pPr>
      <w:r>
        <w:rPr>
          <w:rFonts w:ascii="Calibri" w:hAnsi="Calibri"/>
          <w:b w:val="0"/>
          <w:i w:val="0"/>
          <w:sz w:val="20"/>
        </w:rPr>
        <w:t>Lululemon Norway Payment Methods</w:t>
      </w:r>
    </w:p>
    <w:p>
      <w:pPr>
        <w:pStyle w:val="ListBullet"/>
      </w:pPr>
      <w:r>
        <w:rPr>
          <w:rFonts w:ascii="Calibri" w:hAnsi="Calibri"/>
          <w:b w:val="0"/>
          <w:i w:val="0"/>
          <w:sz w:val="20"/>
        </w:rPr>
        <w:t>Lululemon Germany Payment Methods</w:t>
      </w:r>
    </w:p>
    <w:p>
      <w:pPr>
        <w:pStyle w:val="ListBullet"/>
      </w:pPr>
      <w:r>
        <w:rPr>
          <w:rFonts w:ascii="Calibri" w:hAnsi="Calibri"/>
          <w:b w:val="0"/>
          <w:i w:val="0"/>
          <w:sz w:val="20"/>
        </w:rPr>
        <w:t>Adyen x Lululemon Case Study</w:t>
      </w:r>
    </w:p>
    <w:p>
      <w:pPr>
        <w:pStyle w:val="ListBullet"/>
      </w:pPr>
      <w:r>
        <w:rPr>
          <w:rFonts w:ascii="Calibri" w:hAnsi="Calibri"/>
          <w:b w:val="0"/>
          <w:i w:val="0"/>
          <w:sz w:val="20"/>
        </w:rPr>
        <w:t>Afterpay x Lululemon (AU)</w:t>
      </w:r>
    </w:p>
    <w:p>
      <w:pPr>
        <w:pStyle w:val="ListBullet"/>
      </w:pPr>
      <w:r>
        <w:rPr>
          <w:rFonts w:ascii="Calibri" w:hAnsi="Calibri"/>
          <w:b w:val="0"/>
          <w:i w:val="0"/>
          <w:sz w:val="20"/>
        </w:rPr>
        <w:t>Klarna x Lululemon (US)</w:t>
      </w:r>
    </w:p>
    <w:p>
      <w:pPr>
        <w:pStyle w:val="ListBullet"/>
      </w:pPr>
      <w:r>
        <w:rPr>
          <w:rFonts w:ascii="Calibri" w:hAnsi="Calibri"/>
          <w:b w:val="0"/>
          <w:i w:val="0"/>
          <w:sz w:val="20"/>
        </w:rPr>
        <w:t>Zip x Lululemon</w:t>
      </w:r>
    </w:p>
    <w:p>
      <w:pPr>
        <w:pStyle w:val="ListBullet"/>
      </w:pPr>
      <w:r>
        <w:rPr>
          <w:rFonts w:ascii="Calibri" w:hAnsi="Calibri"/>
          <w:b w:val="0"/>
          <w:i w:val="0"/>
          <w:sz w:val="20"/>
        </w:rPr>
        <w:t>Lululemon FY2024 Results</w:t>
      </w:r>
    </w:p>
    <w:p>
      <w:pPr>
        <w:pStyle w:val="ListBullet"/>
      </w:pPr>
      <w:r>
        <w:rPr>
          <w:rFonts w:ascii="Calibri" w:hAnsi="Calibri"/>
          <w:b w:val="0"/>
          <w:i w:val="0"/>
          <w:sz w:val="20"/>
        </w:rPr>
        <w:t>Lululemon Q4 2024 Earnings (CNBC)</w:t>
      </w:r>
    </w:p>
    <w:p>
      <w:pPr>
        <w:pStyle w:val="ListBullet"/>
      </w:pPr>
      <w:r>
        <w:rPr>
          <w:rFonts w:ascii="Calibri" w:hAnsi="Calibri"/>
          <w:b w:val="0"/>
          <w:i w:val="0"/>
          <w:sz w:val="20"/>
        </w:rPr>
        <w:t>Lululemon China Growth (China Daily)</w:t>
      </w:r>
    </w:p>
    <w:p>
      <w:pPr>
        <w:pStyle w:val="ListBullet"/>
      </w:pPr>
      <w:r>
        <w:rPr>
          <w:rFonts w:ascii="Calibri" w:hAnsi="Calibri"/>
          <w:b w:val="0"/>
          <w:i w:val="0"/>
          <w:sz w:val="20"/>
        </w:rPr>
        <w:t>Lululemon China Growth (S&amp;P Global)</w:t>
      </w:r>
    </w:p>
    <w:p>
      <w:pPr>
        <w:pStyle w:val="ListBullet"/>
      </w:pPr>
      <w:r>
        <w:rPr>
          <w:rFonts w:ascii="Calibri" w:hAnsi="Calibri"/>
          <w:b w:val="0"/>
          <w:i w:val="0"/>
          <w:sz w:val="20"/>
        </w:rPr>
        <w:t>Lululemon CAITO Ranju Das Appointment</w:t>
      </w:r>
    </w:p>
    <w:p>
      <w:pPr>
        <w:pStyle w:val="ListBullet"/>
      </w:pPr>
      <w:r>
        <w:rPr>
          <w:rFonts w:ascii="Calibri" w:hAnsi="Calibri"/>
          <w:b w:val="0"/>
          <w:i w:val="0"/>
          <w:sz w:val="20"/>
        </w:rPr>
        <w:t>Lululemon CIO Julie Averill Departure (Retail Tech Innovation Hub)</w:t>
      </w:r>
    </w:p>
    <w:p>
      <w:pPr>
        <w:pStyle w:val="ListBullet"/>
      </w:pPr>
      <w:r>
        <w:rPr>
          <w:rFonts w:ascii="Calibri" w:hAnsi="Calibri"/>
          <w:b w:val="0"/>
          <w:i w:val="0"/>
          <w:sz w:val="20"/>
        </w:rPr>
        <w:t>Lululemon CEO Succession Plan</w:t>
      </w:r>
    </w:p>
    <w:p>
      <w:pPr>
        <w:pStyle w:val="ListBullet"/>
      </w:pPr>
      <w:r>
        <w:rPr>
          <w:rFonts w:ascii="Calibri" w:hAnsi="Calibri"/>
          <w:b w:val="0"/>
          <w:i w:val="0"/>
          <w:sz w:val="20"/>
        </w:rPr>
        <w:t>Lululemon 6 New Markets 2026</w:t>
      </w:r>
    </w:p>
    <w:p>
      <w:pPr>
        <w:pStyle w:val="ListBullet"/>
      </w:pPr>
      <w:r>
        <w:rPr>
          <w:rFonts w:ascii="Calibri" w:hAnsi="Calibri"/>
          <w:b w:val="0"/>
          <w:i w:val="0"/>
          <w:sz w:val="20"/>
        </w:rPr>
        <w:t>Lululemon Store Expansion Plans (Retail TouchPoints)</w:t>
      </w:r>
    </w:p>
    <w:p>
      <w:pPr>
        <w:pStyle w:val="ListBullet"/>
      </w:pPr>
      <w:r>
        <w:rPr>
          <w:rFonts w:ascii="Calibri" w:hAnsi="Calibri"/>
          <w:b w:val="0"/>
          <w:i w:val="0"/>
          <w:sz w:val="20"/>
        </w:rPr>
        <w:t>Lululemon Apple Pay Guide</w:t>
      </w:r>
    </w:p>
    <w:p>
      <w:pPr>
        <w:pStyle w:val="ListBullet"/>
      </w:pPr>
      <w:r>
        <w:rPr>
          <w:rFonts w:ascii="Calibri" w:hAnsi="Calibri"/>
          <w:b w:val="0"/>
          <w:i w:val="0"/>
          <w:sz w:val="20"/>
        </w:rPr>
        <w:t>Lululemon BBB Complaints</w:t>
      </w:r>
    </w:p>
    <w:p>
      <w:pPr>
        <w:pStyle w:val="ListBullet"/>
      </w:pPr>
      <w:r>
        <w:rPr>
          <w:rFonts w:ascii="Calibri" w:hAnsi="Calibri"/>
          <w:b w:val="0"/>
          <w:i w:val="0"/>
          <w:sz w:val="20"/>
        </w:rPr>
        <w:t>Lululemon Wikipedia</w:t>
      </w:r>
    </w:p>
    <w:p>
      <w:pPr>
        <w:pStyle w:val="ListBullet"/>
      </w:pPr>
      <w:r>
        <w:rPr>
          <w:rFonts w:ascii="Calibri" w:hAnsi="Calibri"/>
          <w:b w:val="0"/>
          <w:i w:val="0"/>
          <w:sz w:val="20"/>
        </w:rPr>
        <w:t>Lululemon Logo (Wikimedia SVG)</w:t>
      </w:r>
    </w:p>
    <w:p>
      <w:pPr>
        <w:pStyle w:val="ListBullet"/>
      </w:pPr>
      <w:r>
        <w:rPr>
          <w:rFonts w:ascii="Calibri" w:hAnsi="Calibri"/>
          <w:b w:val="0"/>
          <w:i w:val="0"/>
          <w:sz w:val="20"/>
        </w:rPr>
        <w:t>Lululemon Revenue (MacroTrends)</w:t>
      </w:r>
    </w:p>
    <w:p>
      <w:pPr>
        <w:pStyle w:val="ListBullet"/>
      </w:pPr>
      <w:r>
        <w:rPr>
          <w:rFonts w:ascii="Calibri" w:hAnsi="Calibri"/>
          <w:b w:val="0"/>
          <w:i w:val="0"/>
          <w:sz w:val="20"/>
        </w:rPr>
        <w:t>Lululemon 2024 Annual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