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PIPEDRIVE | Stripe Sessions Research (SS Database Format)</w:t>
      </w:r>
    </w:p>
    <w:p>
      <w:r>
        <w:rPr>
          <w:rFonts w:ascii="Calibri" w:hAnsi="Calibri"/>
          <w:i/>
          <w:color w:val="999999"/>
          <w:sz w:val="20"/>
        </w:rPr>
        <w:t>Generated: 2026-04-21</w:t>
      </w:r>
    </w:p>
    <w:p>
      <w:r>
        <w:rPr>
          <w:rFonts w:ascii="Calibri" w:hAnsi="Calibri"/>
          <w:b/>
          <w:color w:val="5B4CFF"/>
          <w:sz w:val="28"/>
        </w:rPr>
        <w:t>DATABASE FIELDS: Pipedrive</w:t>
      </w:r>
    </w:p>
    <w:p/>
    <w:p>
      <w:r>
        <w:rPr>
          <w:rFonts w:ascii="Calibri" w:hAnsi="Calibri"/>
          <w:b/>
          <w:sz w:val="20"/>
        </w:rPr>
        <w:t xml:space="preserve">Logo: </w:t>
      </w:r>
      <w:r>
        <w:rPr>
          <w:rFonts w:ascii="Calibri" w:hAnsi="Calibri"/>
          <w:sz w:val="20"/>
        </w:rPr>
        <w:t>https://upload.wikimedia.org/wikipedia/commons/4/4f/Pipedrive_Logo.svg</w:t>
      </w:r>
    </w:p>
    <w:p>
      <w:r>
        <w:rPr>
          <w:rFonts w:ascii="Calibri" w:hAnsi="Calibri"/>
          <w:b/>
          <w:sz w:val="20"/>
        </w:rPr>
        <w:t xml:space="preserve">Nombre merchant: </w:t>
      </w:r>
      <w:r>
        <w:rPr>
          <w:rFonts w:ascii="Calibri" w:hAnsi="Calibri"/>
          <w:sz w:val="20"/>
        </w:rPr>
        <w:t>Pipedrive</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PayPal Blocked in UK</w:t>
      </w:r>
    </w:p>
    <w:p>
      <w:r>
        <w:rPr>
          <w:rFonts w:ascii="Calibri" w:hAnsi="Calibri"/>
          <w:b/>
          <w:sz w:val="20"/>
        </w:rPr>
        <w:t xml:space="preserve">Desc_Pain Point_1: </w:t>
      </w:r>
      <w:r>
        <w:rPr>
          <w:rFonts w:ascii="Calibri" w:hAnsi="Calibri"/>
          <w:sz w:val="20"/>
        </w:rPr>
        <w:t>PayPal payments are not available for UK customers, one of Pipedrive's largest European markets. UK users are forced to use cards only, with no alternative wallet or bank debit option beyond BACS for subscription billing.</w:t>
      </w:r>
      <w:r>
        <w:rPr>
          <w:rFonts w:ascii="Calibri" w:hAnsi="Calibri"/>
          <w:i/>
          <w:color w:val="999999"/>
          <w:sz w:val="16"/>
        </w:rPr>
        <w:t xml:space="preserve">  [221 chars]</w:t>
      </w:r>
    </w:p>
    <w:p/>
    <w:p>
      <w:r>
        <w:rPr>
          <w:rFonts w:ascii="Calibri" w:hAnsi="Calibri"/>
          <w:b/>
          <w:sz w:val="20"/>
        </w:rPr>
        <w:t xml:space="preserve">Tittle_Pain Point_2: </w:t>
      </w:r>
      <w:r>
        <w:rPr>
          <w:rFonts w:ascii="Calibri" w:hAnsi="Calibri"/>
          <w:sz w:val="20"/>
        </w:rPr>
        <w:t>Brazil $10K Monthly Cap</w:t>
      </w:r>
    </w:p>
    <w:p>
      <w:r>
        <w:rPr>
          <w:rFonts w:ascii="Calibri" w:hAnsi="Calibri"/>
          <w:b/>
          <w:sz w:val="20"/>
        </w:rPr>
        <w:t xml:space="preserve">Desc_Pain Point_2: </w:t>
      </w:r>
      <w:r>
        <w:rPr>
          <w:rFonts w:ascii="Calibri" w:hAnsi="Calibri"/>
          <w:sz w:val="20"/>
        </w:rPr>
        <w:t>Brazilian customers face a $10,000 USD monthly cap on local card transfers to international companies per federal law. Larger team subscriptions in Brazil are blocked by regulation, requiring workaround payment methods that do not exist.</w:t>
      </w:r>
      <w:r>
        <w:rPr>
          <w:rFonts w:ascii="Calibri" w:hAnsi="Calibri"/>
          <w:i/>
          <w:color w:val="999999"/>
          <w:sz w:val="16"/>
        </w:rPr>
        <w:t xml:space="preserve">  [237 chars]</w:t>
      </w:r>
    </w:p>
    <w:p/>
    <w:p>
      <w:r>
        <w:rPr>
          <w:rFonts w:ascii="Calibri" w:hAnsi="Calibri"/>
          <w:b/>
          <w:sz w:val="20"/>
        </w:rPr>
        <w:t xml:space="preserve">Tittle_Pain Point_3: </w:t>
      </w:r>
      <w:r>
        <w:rPr>
          <w:rFonts w:ascii="Calibri" w:hAnsi="Calibri"/>
          <w:sz w:val="20"/>
        </w:rPr>
        <w:t>No Payment Failover</w:t>
      </w:r>
    </w:p>
    <w:p>
      <w:r>
        <w:rPr>
          <w:rFonts w:ascii="Calibri" w:hAnsi="Calibri"/>
          <w:b/>
          <w:sz w:val="20"/>
        </w:rPr>
        <w:t xml:space="preserve">Desc_Pain Point_3: </w:t>
      </w:r>
      <w:r>
        <w:rPr>
          <w:rFonts w:ascii="Calibri" w:hAnsi="Calibri"/>
          <w:sz w:val="20"/>
        </w:rPr>
        <w:t>Single processor for card billing with no cascade to an alternative acquirer on decline. With 100K+ customers across 179 countries, every failed renewal without failover is permanent involuntary churn.</w:t>
      </w:r>
      <w:r>
        <w:rPr>
          <w:rFonts w:ascii="Calibri" w:hAnsi="Calibri"/>
          <w:i/>
          <w:color w:val="999999"/>
          <w:sz w:val="16"/>
        </w:rPr>
        <w:t xml:space="preserve">  [201 chars]</w:t>
      </w:r>
    </w:p>
    <w:p/>
    <w:p>
      <w:r>
        <w:rPr>
          <w:rFonts w:ascii="Calibri" w:hAnsi="Calibri"/>
          <w:b/>
          <w:sz w:val="20"/>
        </w:rPr>
        <w:t xml:space="preserve">Tittle_Pain Point_4: </w:t>
      </w:r>
      <w:r>
        <w:rPr>
          <w:rFonts w:ascii="Calibri" w:hAnsi="Calibri"/>
          <w:sz w:val="20"/>
        </w:rPr>
        <w:t>SEPA Processing Lock</w:t>
      </w:r>
    </w:p>
    <w:p>
      <w:r>
        <w:rPr>
          <w:rFonts w:ascii="Calibri" w:hAnsi="Calibri"/>
          <w:b/>
          <w:sz w:val="20"/>
        </w:rPr>
        <w:t xml:space="preserve">Desc_Pain Point_4: </w:t>
      </w:r>
      <w:r>
        <w:rPr>
          <w:rFonts w:ascii="Calibri" w:hAnsi="Calibri"/>
          <w:sz w:val="20"/>
        </w:rPr>
        <w:t>SEPA payments require up to five working days to process, during which all billing modifications are blocked. Customers cannot change plans, add seats, or adjust billing while SEPA clears, creating friction during critical scaling moments.</w:t>
      </w:r>
      <w:r>
        <w:rPr>
          <w:rFonts w:ascii="Calibri" w:hAnsi="Calibri"/>
          <w:i/>
          <w:color w:val="999999"/>
          <w:sz w:val="16"/>
        </w:rPr>
        <w:t xml:space="preserve">  [239 chars]</w:t>
      </w:r>
    </w:p>
    <w:p/>
    <w:p>
      <w:r>
        <w:rPr>
          <w:rFonts w:ascii="Calibri" w:hAnsi="Calibri"/>
          <w:b/>
          <w:sz w:val="20"/>
        </w:rPr>
        <w:t xml:space="preserve">Tittle_Pain Point_5: </w:t>
      </w:r>
      <w:r>
        <w:rPr>
          <w:rFonts w:ascii="Calibri" w:hAnsi="Calibri"/>
          <w:sz w:val="20"/>
        </w:rPr>
        <w:t>Limited APAC Coverage</w:t>
      </w:r>
    </w:p>
    <w:p>
      <w:r>
        <w:rPr>
          <w:rFonts w:ascii="Calibri" w:hAnsi="Calibri"/>
          <w:b/>
          <w:sz w:val="20"/>
        </w:rPr>
        <w:t xml:space="preserve">Desc_Pain Point_5: </w:t>
      </w:r>
      <w:r>
        <w:rPr>
          <w:rFonts w:ascii="Calibri" w:hAnsi="Calibri"/>
          <w:sz w:val="20"/>
        </w:rPr>
        <w:t>Zero local payment methods for APAC markets. No UPI (India), KakaoPay (Korea), GrabPay (SEA), or LINE Pay (Japan). Card-only checkout in Asia's fastest-growing SMB CRM markets blocks self-serve conversions.</w:t>
      </w:r>
      <w:r>
        <w:rPr>
          <w:rFonts w:ascii="Calibri" w:hAnsi="Calibri"/>
          <w:i/>
          <w:color w:val="999999"/>
          <w:sz w:val="16"/>
        </w:rPr>
        <w:t xml:space="preserve">  [206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Credit/Debit Cards (Visa/MC/Amex/Discover/JCB/Diners)</w:t>
      </w:r>
    </w:p>
    <w:p>
      <w:r>
        <w:rPr>
          <w:rFonts w:ascii="Calibri" w:hAnsi="Calibri"/>
          <w:b/>
          <w:sz w:val="20"/>
        </w:rPr>
        <w:t xml:space="preserve">PSP_2: </w:t>
      </w:r>
      <w:r>
        <w:rPr>
          <w:rFonts w:ascii="Calibri" w:hAnsi="Calibri"/>
          <w:sz w:val="20"/>
        </w:rPr>
        <w:t>PayPal (not available in UK)</w:t>
      </w:r>
    </w:p>
    <w:p>
      <w:r>
        <w:rPr>
          <w:rFonts w:ascii="Calibri" w:hAnsi="Calibri"/>
          <w:b/>
          <w:sz w:val="20"/>
        </w:rPr>
        <w:t xml:space="preserve">PSP_3: </w:t>
      </w:r>
      <w:r>
        <w:rPr>
          <w:rFonts w:ascii="Calibri" w:hAnsi="Calibri"/>
          <w:sz w:val="20"/>
        </w:rPr>
        <w:t>SEPA DD / BACS / ACH (regional bank debits)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
              <w:rPr>
                <w:rFonts w:ascii="Calibri" w:hAnsi="Calibri"/>
                <w:b/>
                <w:sz w:val="20"/>
              </w:rPr>
              <w:t>PSP 1: Credit/Debit Cards (Visa/MC/Amex/Discover/JCB/Diners)</w:t>
            </w:r>
          </w:p>
        </w:tc>
        <w:tc>
          <w:tcPr>
            <w:tcW w:type="dxa" w:w="2880"/>
          </w:tcPr>
          <w:p>
            <w:pPr>
              <w:jc w:val="center"/>
            </w:pPr>
            <w:r/>
            <w:r>
              <w:rPr>
                <w:rFonts w:ascii="Calibri" w:hAnsi="Calibri"/>
                <w:b/>
                <w:sz w:val="20"/>
              </w:rPr>
              <w:t>PSP 2: PayPal (not available in UK)</w:t>
            </w:r>
          </w:p>
        </w:tc>
        <w:tc>
          <w:tcPr>
            <w:tcW w:type="dxa" w:w="2880"/>
          </w:tcPr>
          <w:p>
            <w:pPr>
              <w:jc w:val="center"/>
            </w:pPr>
            <w:r/>
            <w:r>
              <w:rPr>
                <w:rFonts w:ascii="Calibri" w:hAnsi="Calibri"/>
                <w:b/>
                <w:sz w:val="20"/>
              </w:rPr>
              <w:t>PSP 3: SEPA DD / BACS / ACH (regional bank debits)</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Pix</w:t>
      </w:r>
    </w:p>
    <w:p>
      <w:r>
        <w:rPr>
          <w:rFonts w:ascii="Calibri" w:hAnsi="Calibri"/>
          <w:b/>
          <w:sz w:val="20"/>
        </w:rPr>
        <w:t xml:space="preserve">Local_M_2: </w:t>
      </w:r>
      <w:r>
        <w:rPr>
          <w:rFonts w:ascii="Calibri" w:hAnsi="Calibri"/>
          <w:sz w:val="20"/>
        </w:rPr>
        <w:t>iDEAL</w:t>
      </w:r>
    </w:p>
    <w:p>
      <w:r>
        <w:rPr>
          <w:rFonts w:ascii="Calibri" w:hAnsi="Calibri"/>
          <w:b/>
          <w:sz w:val="20"/>
        </w:rPr>
        <w:t xml:space="preserve">Local_M_3: </w:t>
      </w:r>
      <w:r>
        <w:rPr>
          <w:rFonts w:ascii="Calibri" w:hAnsi="Calibri"/>
          <w:sz w:val="20"/>
        </w:rPr>
        <w:t>UPI</w:t>
      </w:r>
    </w:p>
    <w:p>
      <w:r>
        <w:rPr>
          <w:rFonts w:ascii="Calibri" w:hAnsi="Calibri"/>
          <w:b/>
          <w:sz w:val="20"/>
        </w:rPr>
        <w:t xml:space="preserve">Local_M_4: </w:t>
      </w:r>
      <w:r>
        <w:rPr>
          <w:rFonts w:ascii="Calibri" w:hAnsi="Calibri"/>
          <w:sz w:val="20"/>
        </w:rPr>
        <w:t>BLIK</w:t>
      </w:r>
    </w:p>
    <w:p>
      <w:r>
        <w:rPr>
          <w:rFonts w:ascii="Calibri" w:hAnsi="Calibri"/>
          <w:b/>
          <w:sz w:val="20"/>
        </w:rPr>
        <w:t xml:space="preserve">Local_M_5: </w:t>
      </w:r>
      <w:r>
        <w:rPr>
          <w:rFonts w:ascii="Calibri" w:hAnsi="Calibri"/>
          <w:sz w:val="20"/>
        </w:rPr>
        <w:t>Boleto</w:t>
      </w:r>
    </w:p>
    <w:p>
      <w:r>
        <w:rPr>
          <w:rFonts w:ascii="Calibri" w:hAnsi="Calibri"/>
          <w:b/>
          <w:sz w:val="20"/>
        </w:rPr>
        <w:t xml:space="preserve">Local_M_6: </w:t>
      </w:r>
      <w:r>
        <w:rPr>
          <w:rFonts w:ascii="Calibri" w:hAnsi="Calibri"/>
          <w:sz w:val="20"/>
        </w:rPr>
        <w:t>KakaoPay</w:t>
      </w:r>
    </w:p>
    <w:p>
      <w:r>
        <w:rPr>
          <w:rFonts w:ascii="Calibri" w:hAnsi="Calibri"/>
          <w:b/>
          <w:sz w:val="20"/>
        </w:rPr>
        <w:t xml:space="preserve">Local_M_7: </w:t>
      </w:r>
      <w:r>
        <w:rPr>
          <w:rFonts w:ascii="Calibri" w:hAnsi="Calibri"/>
          <w:sz w:val="20"/>
        </w:rPr>
        <w:t>GrabPay</w:t>
      </w:r>
    </w:p>
    <w:p>
      <w:r>
        <w:rPr>
          <w:rFonts w:ascii="Calibri" w:hAnsi="Calibri"/>
          <w:b/>
          <w:sz w:val="20"/>
        </w:rPr>
        <w:t xml:space="preserve">Local_M_8: </w:t>
      </w:r>
      <w:r>
        <w:rPr>
          <w:rFonts w:ascii="Calibri" w:hAnsi="Calibri"/>
          <w:sz w:val="20"/>
        </w:rPr>
        <w:t>LINE Pay</w:t>
      </w:r>
    </w:p>
    <w:p>
      <w:r>
        <w:rPr>
          <w:rFonts w:ascii="Calibri" w:hAnsi="Calibri"/>
          <w:b/>
          <w:sz w:val="20"/>
        </w:rPr>
        <w:t xml:space="preserve">Local_M_9: </w:t>
      </w:r>
      <w:r>
        <w:rPr>
          <w:rFonts w:ascii="Calibri" w:hAnsi="Calibri"/>
          <w:sz w:val="20"/>
        </w:rPr>
        <w:t>Bancontact</w:t>
      </w:r>
    </w:p>
    <w:p>
      <w:r>
        <w:rPr>
          <w:rFonts w:ascii="Calibri" w:hAnsi="Calibri"/>
          <w:b/>
          <w:sz w:val="20"/>
        </w:rPr>
        <w:t xml:space="preserve">Local_M_10: </w:t>
      </w:r>
      <w:r>
        <w:rPr>
          <w:rFonts w:ascii="Calibri" w:hAnsi="Calibri"/>
          <w:sz w:val="20"/>
        </w:rPr>
        <w:t>SPEI</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Pix</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UPI</w:t>
            </w:r>
          </w:p>
        </w:tc>
        <w:tc>
          <w:tcPr>
            <w:tcW w:type="dxa" w:w="1728"/>
          </w:tcPr>
          <w:p>
            <w:pPr>
              <w:jc w:val="center"/>
            </w:pPr>
            <w:r/>
            <w:r>
              <w:rPr>
                <w:rFonts w:ascii="Calibri" w:hAnsi="Calibri"/>
                <w:sz w:val="18"/>
              </w:rPr>
              <w:t>BLIK</w:t>
            </w:r>
          </w:p>
        </w:tc>
        <w:tc>
          <w:tcPr>
            <w:tcW w:type="dxa" w:w="1728"/>
          </w:tcPr>
          <w:p>
            <w:pPr>
              <w:jc w:val="center"/>
            </w:pPr>
            <w:r/>
            <w:r>
              <w:rPr>
                <w:rFonts w:ascii="Calibri" w:hAnsi="Calibri"/>
                <w:sz w:val="18"/>
              </w:rPr>
              <w:t>Boleto</w:t>
            </w:r>
          </w:p>
        </w:tc>
      </w:tr>
      <w:tr>
        <w:tc>
          <w:tcPr>
            <w:tcW w:type="dxa" w:w="1728"/>
          </w:tcPr>
          <w:p>
            <w:pPr>
              <w:jc w:val="center"/>
            </w:pPr>
            <w:r/>
            <w:r>
              <w:rPr>
                <w:rFonts w:ascii="Calibri" w:hAnsi="Calibri"/>
                <w:sz w:val="18"/>
              </w:rPr>
              <w:t>KakaoPay</w:t>
            </w:r>
          </w:p>
        </w:tc>
        <w:tc>
          <w:tcPr>
            <w:tcW w:type="dxa" w:w="1728"/>
          </w:tcPr>
          <w:p>
            <w:pPr>
              <w:jc w:val="center"/>
            </w:pPr>
            <w:r/>
            <w:r>
              <w:rPr>
                <w:rFonts w:ascii="Calibri" w:hAnsi="Calibri"/>
                <w:sz w:val="18"/>
              </w:rPr>
              <w:t>GrabPay</w:t>
            </w:r>
          </w:p>
        </w:tc>
        <w:tc>
          <w:tcPr>
            <w:tcW w:type="dxa" w:w="1728"/>
          </w:tcPr>
          <w:p>
            <w:pPr>
              <w:jc w:val="center"/>
            </w:pPr>
            <w:r/>
            <w:r>
              <w:rPr>
                <w:rFonts w:ascii="Calibri" w:hAnsi="Calibri"/>
                <w:sz w:val="18"/>
              </w:rPr>
              <w:t>LINE Pay</w:t>
            </w:r>
          </w:p>
        </w:tc>
        <w:tc>
          <w:tcPr>
            <w:tcW w:type="dxa" w:w="1728"/>
          </w:tcPr>
          <w:p>
            <w:pPr>
              <w:jc w:val="center"/>
            </w:pPr>
            <w:r/>
            <w:r>
              <w:rPr>
                <w:rFonts w:ascii="Calibri" w:hAnsi="Calibri"/>
                <w:sz w:val="18"/>
              </w:rPr>
              <w:t>Bancontact</w:t>
            </w:r>
          </w:p>
        </w:tc>
        <w:tc>
          <w:tcPr>
            <w:tcW w:type="dxa" w:w="1728"/>
          </w:tcPr>
          <w:p>
            <w:pPr>
              <w:jc w:val="center"/>
            </w:pPr>
            <w:r/>
            <w:r>
              <w:rPr>
                <w:rFonts w:ascii="Calibri" w:hAnsi="Calibri"/>
                <w:sz w:val="18"/>
              </w:rPr>
              <w:t>SPEI</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w:t>
      </w:r>
    </w:p>
    <w:p>
      <w:r>
        <w:rPr>
          <w:rFonts w:ascii="Calibri" w:hAnsi="Calibri"/>
          <w:b/>
          <w:sz w:val="20"/>
        </w:rPr>
        <w:t xml:space="preserve">Desc_Yuno_Cap1: </w:t>
      </w:r>
      <w:r>
        <w:rPr>
          <w:rFonts w:ascii="Calibri" w:hAnsi="Calibri"/>
          <w:sz w:val="20"/>
        </w:rPr>
        <w:t>Per-transaction routing by card BIN, issuer, and geography. With $230M+ projected revenue, 100K+ customers across 179 countries, routing each renewal to the best acquirer per market delivers 3-10% auth uplift on global CRM subscriptions.</w:t>
      </w:r>
      <w:r>
        <w:rPr>
          <w:rFonts w:ascii="Calibri" w:hAnsi="Calibri"/>
          <w:i/>
          <w:color w:val="999999"/>
          <w:sz w:val="16"/>
        </w:rPr>
        <w:t xml:space="preserve">  [237 chars]</w:t>
      </w:r>
    </w:p>
    <w:p/>
    <w:p>
      <w:r>
        <w:rPr>
          <w:rFonts w:ascii="Calibri" w:hAnsi="Calibri"/>
          <w:b/>
          <w:sz w:val="20"/>
        </w:rPr>
        <w:t xml:space="preserve">Tittle_Yuno_Cap2: </w:t>
      </w:r>
      <w:r>
        <w:rPr>
          <w:rFonts w:ascii="Calibri" w:hAnsi="Calibri"/>
          <w:sz w:val="20"/>
        </w:rPr>
        <w:t>Failover &amp; Retries</w:t>
      </w:r>
    </w:p>
    <w:p>
      <w:r>
        <w:rPr>
          <w:rFonts w:ascii="Calibri" w:hAnsi="Calibri"/>
          <w:b/>
          <w:sz w:val="20"/>
        </w:rPr>
        <w:t xml:space="preserve">Desc_Yuno_Cap2: </w:t>
      </w:r>
      <w:r>
        <w:rPr>
          <w:rFonts w:ascii="Calibri" w:hAnsi="Calibri"/>
          <w:sz w:val="20"/>
        </w:rPr>
        <w:t>Automatic cascade when the primary processor declines a subscription renewal. Instead of losing the CRM subscriber to involuntary churn, Yuno retries through the next best processor in milliseconds. Up to 50% recovery on failed transactions retains ARR.</w:t>
      </w:r>
      <w:r>
        <w:rPr>
          <w:rFonts w:ascii="Calibri" w:hAnsi="Calibri"/>
          <w:i/>
          <w:color w:val="999999"/>
          <w:sz w:val="16"/>
        </w:rPr>
        <w:t xml:space="preserve">  [253 chars]</w:t>
      </w:r>
    </w:p>
    <w:p/>
    <w:p>
      <w:r>
        <w:rPr>
          <w:rFonts w:ascii="Calibri" w:hAnsi="Calibri"/>
          <w:b/>
          <w:sz w:val="20"/>
        </w:rPr>
        <w:t xml:space="preserve">Tittle_Yuno_Cap3: </w:t>
      </w:r>
      <w:r>
        <w:rPr>
          <w:rFonts w:ascii="Calibri" w:hAnsi="Calibri"/>
          <w:sz w:val="20"/>
        </w:rPr>
        <w:t>Local Payment Methods</w:t>
      </w:r>
    </w:p>
    <w:p>
      <w:r>
        <w:rPr>
          <w:rFonts w:ascii="Calibri" w:hAnsi="Calibri"/>
          <w:b/>
          <w:sz w:val="20"/>
        </w:rPr>
        <w:t xml:space="preserve">Desc_Yuno_Cap3: </w:t>
      </w:r>
      <w:r>
        <w:rPr>
          <w:rFonts w:ascii="Calibri" w:hAnsi="Calibri"/>
          <w:sz w:val="20"/>
        </w:rPr>
        <w:t>Activates methods Pipedrive's global SMB base demands: Pix in Brazil (bypassing the $10K cap), iDEAL in Netherlands, UPI in India, BLIK in Poland, KakaoPay in Korea, GrabPay in SEA, LINE Pay in Japan. One API, 1,000+ methods.</w:t>
      </w:r>
      <w:r>
        <w:rPr>
          <w:rFonts w:ascii="Calibri" w:hAnsi="Calibri"/>
          <w:i/>
          <w:color w:val="999999"/>
          <w:sz w:val="16"/>
        </w:rPr>
        <w:t xml:space="preserve">  [225 chars]</w:t>
      </w:r>
    </w:p>
    <w:p/>
    <w:p>
      <w:r>
        <w:rPr>
          <w:rFonts w:ascii="Calibri" w:hAnsi="Calibri"/>
          <w:b/>
          <w:sz w:val="20"/>
        </w:rPr>
        <w:t xml:space="preserve">Tittle_Yuno_Cap4: </w:t>
      </w:r>
      <w:r>
        <w:rPr>
          <w:rFonts w:ascii="Calibri" w:hAnsi="Calibri"/>
          <w:sz w:val="20"/>
        </w:rPr>
        <w:t>Unified Orchestration</w:t>
      </w:r>
    </w:p>
    <w:p>
      <w:r>
        <w:rPr>
          <w:rFonts w:ascii="Calibri" w:hAnsi="Calibri"/>
          <w:b/>
          <w:sz w:val="20"/>
        </w:rPr>
        <w:t xml:space="preserve">Desc_Yuno_Cap4: </w:t>
      </w:r>
      <w:r>
        <w:rPr>
          <w:rFonts w:ascii="Calibri" w:hAnsi="Calibri"/>
          <w:sz w:val="20"/>
        </w:rPr>
        <w:t>One dashboard unifying card processing, PayPal, SEPA DD, BACS, and ACH into a single view. Real-time approval monitoring per country, centralized reconciliation across EUR/GBP/USD billing, and NOVA fraud detection (75% reduction).</w:t>
      </w:r>
      <w:r>
        <w:rPr>
          <w:rFonts w:ascii="Calibri" w:hAnsi="Calibri"/>
          <w:i/>
          <w:color w:val="999999"/>
          <w:sz w:val="16"/>
        </w:rPr>
        <w:t xml:space="preserve">  [230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Pipedrive at a glance:</w:t>
      </w:r>
    </w:p>
    <w:p>
      <w:pPr>
        <w:pStyle w:val="ListBullet"/>
      </w:pPr>
      <w:r>
        <w:rPr>
          <w:rFonts w:ascii="Calibri" w:hAnsi="Calibri"/>
          <w:sz w:val="20"/>
        </w:rPr>
        <w:t>Founded: 2010 in Tallinn, Estonia by Timo Rein, Urmas Purde, Ragnar Sass, Martin Henk, Martin Tajur. HQ: New York, USA (operational HQ in Tallinn)</w:t>
      </w:r>
    </w:p>
    <w:p>
      <w:pPr>
        <w:pStyle w:val="ListBullet"/>
      </w:pPr>
      <w:r>
        <w:rPr>
          <w:rFonts w:ascii="Calibri" w:hAnsi="Calibri"/>
          <w:sz w:val="20"/>
        </w:rPr>
        <w:t>Ownership: Vista Equity Partners (majority stake since November 2020)</w:t>
      </w:r>
    </w:p>
    <w:p>
      <w:pPr>
        <w:pStyle w:val="ListBullet"/>
      </w:pPr>
      <w:r>
        <w:rPr>
          <w:rFonts w:ascii="Calibri" w:hAnsi="Calibri"/>
          <w:sz w:val="20"/>
        </w:rPr>
        <w:t>Valuation: ~$1.5B (at Vista acquisition)</w:t>
      </w:r>
    </w:p>
    <w:p>
      <w:pPr>
        <w:pStyle w:val="ListBullet"/>
      </w:pPr>
      <w:r>
        <w:rPr>
          <w:rFonts w:ascii="Calibri" w:hAnsi="Calibri"/>
          <w:sz w:val="20"/>
        </w:rPr>
        <w:t>Total funding: $91.2M in VC prior to Vista; Vista deal valued company at $1.5B</w:t>
      </w:r>
    </w:p>
    <w:p>
      <w:pPr>
        <w:pStyle w:val="ListBullet"/>
      </w:pPr>
      <w:r>
        <w:rPr>
          <w:rFonts w:ascii="Calibri" w:hAnsi="Calibri"/>
          <w:sz w:val="20"/>
        </w:rPr>
        <w:t>Key investors: Vista Equity Partners (majority), Bessemer Venture Partners, Insight Partners, Atomico, DTCP, Rembrandt Venture Partners</w:t>
      </w:r>
    </w:p>
    <w:p>
      <w:pPr>
        <w:pStyle w:val="ListBullet"/>
      </w:pPr>
      <w:r>
        <w:rPr>
          <w:rFonts w:ascii="Calibri" w:hAnsi="Calibri"/>
          <w:sz w:val="20"/>
        </w:rPr>
        <w:t>Revenue: $207M (2024); projected $230-250M for 2025-2026 (10-15% annual growth)</w:t>
      </w:r>
    </w:p>
    <w:p>
      <w:pPr>
        <w:pStyle w:val="ListBullet"/>
      </w:pPr>
      <w:r>
        <w:rPr>
          <w:rFonts w:ascii="Calibri" w:hAnsi="Calibri"/>
          <w:sz w:val="20"/>
        </w:rPr>
        <w:t>Growth: From $12M (2016) to $207M (2024), 1,475% growth in 7 years</w:t>
      </w:r>
    </w:p>
    <w:p>
      <w:pPr>
        <w:pStyle w:val="ListBullet"/>
      </w:pPr>
      <w:r>
        <w:rPr>
          <w:rFonts w:ascii="Calibri" w:hAnsi="Calibri"/>
          <w:sz w:val="20"/>
        </w:rPr>
        <w:t>Customers: 100,000+ sales teams across 179 countries</w:t>
      </w:r>
    </w:p>
    <w:p>
      <w:pPr>
        <w:pStyle w:val="ListBullet"/>
      </w:pPr>
      <w:r>
        <w:rPr>
          <w:rFonts w:ascii="Calibri" w:hAnsi="Calibri"/>
          <w:sz w:val="20"/>
        </w:rPr>
        <w:t>Employees: ~800-952 across 10 offices</w:t>
      </w:r>
    </w:p>
    <w:p>
      <w:pPr>
        <w:pStyle w:val="ListBullet"/>
      </w:pPr>
      <w:r>
        <w:rPr>
          <w:rFonts w:ascii="Calibri" w:hAnsi="Calibri"/>
          <w:sz w:val="20"/>
        </w:rPr>
        <w:t>Offices: Tallinn, Tartu, Lisbon, London, Prague, Dublin, Riga, Berlin, New York, Florida</w:t>
      </w:r>
    </w:p>
    <w:p>
      <w:pPr>
        <w:pStyle w:val="ListBullet"/>
      </w:pPr>
      <w:r>
        <w:rPr>
          <w:rFonts w:ascii="Calibri" w:hAnsi="Calibri"/>
          <w:sz w:val="20"/>
        </w:rPr>
        <w:t>Products: CRM, Email Marketing, LeadBooster, Web Visitors, Smart Docs, Projects, Campaigns</w:t>
      </w:r>
    </w:p>
    <w:p>
      <w:pPr>
        <w:pStyle w:val="ListBullet"/>
      </w:pPr>
      <w:r>
        <w:rPr>
          <w:rFonts w:ascii="Calibri" w:hAnsi="Calibri"/>
          <w:sz w:val="20"/>
        </w:rPr>
        <w:t>Revenue model: Essential ($14/user/mo), Advanced ($39/user/mo), Professional ($49/user/mo), Power ($64/user/mo), Enterprise ($99/user/mo)</w:t>
      </w:r>
    </w:p>
    <w:p>
      <w:pPr>
        <w:pStyle w:val="Heading2"/>
      </w:pPr>
      <w:r>
        <w:rPr>
          <w:rFonts w:ascii="Calibri" w:hAnsi="Calibri"/>
          <w:color w:val="5B4CFF"/>
        </w:rPr>
        <w:t>Confirmed Payment Stack:</w:t>
      </w:r>
    </w:p>
    <w:p>
      <w:pPr>
        <w:pStyle w:val="ListBullet"/>
      </w:pPr>
      <w:r>
        <w:rPr>
          <w:rFonts w:ascii="Calibri" w:hAnsi="Calibri"/>
          <w:sz w:val="20"/>
        </w:rPr>
        <w:t>Credit/debit cards: Visa, MasterCard, American Express, Discover, JCB, Diners Club (North America and UK only)</w:t>
      </w:r>
    </w:p>
    <w:p>
      <w:pPr>
        <w:pStyle w:val="ListBullet"/>
      </w:pPr>
      <w:r>
        <w:rPr>
          <w:rFonts w:ascii="Calibri" w:hAnsi="Calibri"/>
          <w:sz w:val="20"/>
        </w:rPr>
        <w:t>PayPal: Accepted (except UK)</w:t>
      </w:r>
    </w:p>
    <w:p>
      <w:pPr>
        <w:pStyle w:val="ListBullet"/>
      </w:pPr>
      <w:r>
        <w:rPr>
          <w:rFonts w:ascii="Calibri" w:hAnsi="Calibri"/>
          <w:sz w:val="20"/>
        </w:rPr>
        <w:t>SEPA Direct Debit: Euros, European countries (up to 5 working days processing)</w:t>
      </w:r>
    </w:p>
    <w:p>
      <w:pPr>
        <w:pStyle w:val="ListBullet"/>
      </w:pPr>
      <w:r>
        <w:rPr>
          <w:rFonts w:ascii="Calibri" w:hAnsi="Calibri"/>
          <w:sz w:val="20"/>
        </w:rPr>
        <w:t>BACS: British pounds, UK only</w:t>
      </w:r>
    </w:p>
    <w:p>
      <w:pPr>
        <w:pStyle w:val="ListBullet"/>
      </w:pPr>
      <w:r>
        <w:rPr>
          <w:rFonts w:ascii="Calibri" w:hAnsi="Calibri"/>
          <w:sz w:val="20"/>
        </w:rPr>
        <w:t>ACH: US dollars, United States only</w:t>
      </w:r>
    </w:p>
    <w:p>
      <w:pPr>
        <w:pStyle w:val="ListBullet"/>
      </w:pPr>
      <w:r>
        <w:rPr>
          <w:rFonts w:ascii="Calibri" w:hAnsi="Calibri"/>
          <w:sz w:val="20"/>
        </w:rPr>
        <w:t>Local credit/debit cards: Brazil only</w:t>
      </w:r>
    </w:p>
    <w:p>
      <w:pPr>
        <w:pStyle w:val="ListBullet"/>
      </w:pPr>
      <w:r>
        <w:rPr>
          <w:rFonts w:ascii="Calibri" w:hAnsi="Calibri"/>
          <w:sz w:val="20"/>
        </w:rPr>
        <w:t>Billing currencies: EUR (Europe/Turkey), GBP (UK), USD (all other locations)</w:t>
      </w:r>
    </w:p>
    <w:p>
      <w:pPr>
        <w:pStyle w:val="ListBullet"/>
      </w:pPr>
      <w:r>
        <w:rPr>
          <w:rFonts w:ascii="Calibri" w:hAnsi="Calibri"/>
          <w:sz w:val="20"/>
        </w:rPr>
        <w:t>No payment orchestrator detected</w:t>
      </w:r>
    </w:p>
    <w:p>
      <w:pPr>
        <w:pStyle w:val="ListBullet"/>
      </w:pPr>
      <w:r>
        <w:rPr>
          <w:rFonts w:ascii="Calibri" w:hAnsi="Calibri"/>
          <w:sz w:val="20"/>
        </w:rPr>
        <w:t>No multi-processor failover capability</w:t>
      </w:r>
    </w:p>
    <w:p>
      <w:pPr>
        <w:pStyle w:val="ListBullet"/>
      </w:pPr>
      <w:r>
        <w:rPr>
          <w:rFonts w:ascii="Calibri" w:hAnsi="Calibri"/>
          <w:sz w:val="20"/>
        </w:rPr>
        <w:t>No Pix, iDEAL, UPI, or other local APMs</w:t>
      </w:r>
    </w:p>
    <w:p>
      <w:pPr>
        <w:pStyle w:val="Heading2"/>
      </w:pPr>
      <w:r>
        <w:rPr>
          <w:rFonts w:ascii="Calibri" w:hAnsi="Calibri"/>
          <w:color w:val="5B4CFF"/>
        </w:rPr>
        <w:t>Payment Method Gaps (Evidence):</w:t>
      </w:r>
    </w:p>
    <w:p>
      <w:pPr>
        <w:pStyle w:val="ListBullet"/>
      </w:pPr>
      <w:r>
        <w:rPr>
          <w:rFonts w:ascii="Calibri" w:hAnsi="Calibri"/>
          <w:sz w:val="20"/>
        </w:rPr>
        <w:t>PayPal explicitly unavailable in UK</w:t>
      </w:r>
    </w:p>
    <w:p>
      <w:pPr>
        <w:pStyle w:val="ListBullet"/>
      </w:pPr>
      <w:r>
        <w:rPr>
          <w:rFonts w:ascii="Calibri" w:hAnsi="Calibri"/>
          <w:sz w:val="20"/>
        </w:rPr>
        <w:t>Brazil $10,000 USD monthly cap on local card transfers to international companies (federal law)</w:t>
      </w:r>
    </w:p>
    <w:p>
      <w:pPr>
        <w:pStyle w:val="ListBullet"/>
      </w:pPr>
      <w:r>
        <w:rPr>
          <w:rFonts w:ascii="Calibri" w:hAnsi="Calibri"/>
          <w:sz w:val="20"/>
        </w:rPr>
        <w:t>SEPA requires up to 5 working days, blocking billing changes during processing</w:t>
      </w:r>
    </w:p>
    <w:p>
      <w:pPr>
        <w:pStyle w:val="ListBullet"/>
      </w:pPr>
      <w:r>
        <w:rPr>
          <w:rFonts w:ascii="Calibri" w:hAnsi="Calibri"/>
          <w:sz w:val="20"/>
        </w:rPr>
        <w:t>Diners Club only in North America and UK</w:t>
      </w:r>
    </w:p>
    <w:p>
      <w:pPr>
        <w:pStyle w:val="ListBullet"/>
      </w:pPr>
      <w:r>
        <w:rPr>
          <w:rFonts w:ascii="Calibri" w:hAnsi="Calibri"/>
          <w:sz w:val="20"/>
        </w:rPr>
        <w:t>No local APMs for APAC markets (India, Japan, Korea, SEA)</w:t>
      </w:r>
    </w:p>
    <w:p>
      <w:pPr>
        <w:pStyle w:val="ListBullet"/>
      </w:pPr>
      <w:r>
        <w:rPr>
          <w:rFonts w:ascii="Calibri" w:hAnsi="Calibri"/>
          <w:sz w:val="20"/>
        </w:rPr>
        <w:t>No local APMs for LATAM beyond Brazilian local cards</w:t>
      </w:r>
    </w:p>
    <w:p>
      <w:pPr>
        <w:pStyle w:val="ListBullet"/>
      </w:pPr>
      <w:r>
        <w:rPr>
          <w:rFonts w:ascii="Calibri" w:hAnsi="Calibri"/>
          <w:sz w:val="20"/>
        </w:rPr>
        <w:t>No iDEAL for Netherlands, no Bancontact for Belgium</w:t>
      </w:r>
    </w:p>
    <w:p>
      <w:pPr>
        <w:pStyle w:val="ListBullet"/>
      </w:pPr>
      <w:r>
        <w:rPr>
          <w:rFonts w:ascii="Calibri" w:hAnsi="Calibri"/>
          <w:sz w:val="20"/>
        </w:rPr>
        <w:t>Only account administrators with billing access can modify payment methods</w:t>
      </w:r>
    </w:p>
    <w:p>
      <w:pPr>
        <w:pStyle w:val="Heading2"/>
      </w:pPr>
      <w:r>
        <w:rPr>
          <w:rFonts w:ascii="Calibri" w:hAnsi="Calibri"/>
          <w:color w:val="5B4CFF"/>
        </w:rPr>
        <w:t>Top 5 Markets Gap Analysis:</w:t>
      </w:r>
    </w:p>
    <w:p>
      <w:r>
        <w:rPr>
          <w:rFonts w:ascii="Calibri" w:hAnsi="Calibri"/>
          <w:b/>
          <w:sz w:val="20"/>
        </w:rPr>
        <w:t>MARKET 1: United States (HQ, largest CRM market)</w:t>
      </w:r>
    </w:p>
    <w:p>
      <w:pPr>
        <w:pStyle w:val="ListBullet"/>
      </w:pPr>
      <w:r>
        <w:rPr>
          <w:rFonts w:ascii="Calibri" w:hAnsi="Calibri"/>
          <w:sz w:val="20"/>
        </w:rPr>
        <w:t>Accepted: Visa/MC/Amex/Discover/JCB/Diners, PayPal, ACH</w:t>
      </w:r>
    </w:p>
    <w:p>
      <w:pPr>
        <w:pStyle w:val="ListBullet"/>
      </w:pPr>
      <w:r>
        <w:rPr>
          <w:rFonts w:ascii="Calibri" w:hAnsi="Calibri"/>
          <w:sz w:val="20"/>
        </w:rPr>
        <w:t>Missing: Apple Pay, Google Pay, Venmo</w:t>
      </w:r>
    </w:p>
    <w:p>
      <w:pPr>
        <w:pStyle w:val="ListBullet"/>
      </w:pPr>
      <w:r>
        <w:rPr>
          <w:rFonts w:ascii="Calibri" w:hAnsi="Calibri"/>
          <w:sz w:val="20"/>
        </w:rPr>
        <w:t>Note: Best coverage with PayPal and ACH. But no failover processor.</w:t>
      </w:r>
    </w:p>
    <w:p>
      <w:r>
        <w:rPr>
          <w:rFonts w:ascii="Calibri" w:hAnsi="Calibri"/>
          <w:b/>
          <w:sz w:val="20"/>
        </w:rPr>
        <w:t>MARKET 2: Europe / EMEA (operational HQ in Tallinn, 6 EU offices)</w:t>
      </w:r>
    </w:p>
    <w:p>
      <w:pPr>
        <w:pStyle w:val="ListBullet"/>
      </w:pPr>
      <w:r>
        <w:rPr>
          <w:rFonts w:ascii="Calibri" w:hAnsi="Calibri"/>
          <w:sz w:val="20"/>
        </w:rPr>
        <w:t>Accepted: Visa/MC/Amex, PayPal (not UK), SEPA DD, BACS (UK only)</w:t>
      </w:r>
    </w:p>
    <w:p>
      <w:pPr>
        <w:pStyle w:val="ListBullet"/>
      </w:pPr>
      <w:r>
        <w:rPr>
          <w:rFonts w:ascii="Calibri" w:hAnsi="Calibri"/>
          <w:sz w:val="20"/>
        </w:rPr>
        <w:t>Missing: iDEAL (Netherlands), Bancontact (Belgium), BLIK (Poland), GiroPay (Germany), Sofort, MB Way</w:t>
      </w:r>
    </w:p>
    <w:p>
      <w:pPr>
        <w:pStyle w:val="ListBullet"/>
      </w:pPr>
      <w:r>
        <w:rPr>
          <w:rFonts w:ascii="Calibri" w:hAnsi="Calibri"/>
          <w:sz w:val="20"/>
        </w:rPr>
        <w:t>Note: SEPA DD is good but 5-day lock is friction. PayPal absent in UK is a gap. No iDEAL in Netherlands.</w:t>
      </w:r>
    </w:p>
    <w:p>
      <w:r>
        <w:rPr>
          <w:rFonts w:ascii="Calibri" w:hAnsi="Calibri"/>
          <w:b/>
          <w:sz w:val="20"/>
        </w:rPr>
        <w:t>MARKET 3: Brazil / LATAM (local card support shows focus)</w:t>
      </w:r>
    </w:p>
    <w:p>
      <w:pPr>
        <w:pStyle w:val="ListBullet"/>
      </w:pPr>
      <w:r>
        <w:rPr>
          <w:rFonts w:ascii="Calibri" w:hAnsi="Calibri"/>
          <w:sz w:val="20"/>
        </w:rPr>
        <w:t>Accepted: Visa/MC, Local credit/debit cards (Brazil only)</w:t>
      </w:r>
    </w:p>
    <w:p>
      <w:pPr>
        <w:pStyle w:val="ListBullet"/>
      </w:pPr>
      <w:r>
        <w:rPr>
          <w:rFonts w:ascii="Calibri" w:hAnsi="Calibri"/>
          <w:sz w:val="20"/>
        </w:rPr>
        <w:t>Missing: Pix, Boleto, OXXO, SPEI, PSE</w:t>
      </w:r>
    </w:p>
    <w:p>
      <w:pPr>
        <w:pStyle w:val="ListBullet"/>
      </w:pPr>
      <w:r>
        <w:rPr>
          <w:rFonts w:ascii="Calibri" w:hAnsi="Calibri"/>
          <w:sz w:val="20"/>
        </w:rPr>
        <w:t>Note: $10K monthly cap on local cards blocks larger teams. Pix bypasses this cap and processes 70%+ of Brazilian digital payments.</w:t>
      </w:r>
    </w:p>
    <w:p>
      <w:r>
        <w:rPr>
          <w:rFonts w:ascii="Calibri" w:hAnsi="Calibri"/>
          <w:b/>
          <w:sz w:val="20"/>
        </w:rPr>
        <w:t>MARKET 4: India / South Asia (growing SMB CRM market)</w:t>
      </w:r>
    </w:p>
    <w:p>
      <w:pPr>
        <w:pStyle w:val="ListBullet"/>
      </w:pPr>
      <w:r>
        <w:rPr>
          <w:rFonts w:ascii="Calibri" w:hAnsi="Calibri"/>
          <w:sz w:val="20"/>
        </w:rPr>
        <w:t>Accepted: Visa/MC (cross-border)</w:t>
      </w:r>
    </w:p>
    <w:p>
      <w:pPr>
        <w:pStyle w:val="ListBullet"/>
      </w:pPr>
      <w:r>
        <w:rPr>
          <w:rFonts w:ascii="Calibri" w:hAnsi="Calibri"/>
          <w:sz w:val="20"/>
        </w:rPr>
        <w:t>Missing: UPI, RuPay, Paytm, NetBanking</w:t>
      </w:r>
    </w:p>
    <w:p>
      <w:pPr>
        <w:pStyle w:val="ListBullet"/>
      </w:pPr>
      <w:r>
        <w:rPr>
          <w:rFonts w:ascii="Calibri" w:hAnsi="Calibri"/>
          <w:sz w:val="20"/>
        </w:rPr>
        <w:t>Note: UPI handles 75%+ of Indian digital payments. Zero local methods in a massive SMB market.</w:t>
      </w:r>
    </w:p>
    <w:p>
      <w:r>
        <w:rPr>
          <w:rFonts w:ascii="Calibri" w:hAnsi="Calibri"/>
          <w:b/>
          <w:sz w:val="20"/>
        </w:rPr>
        <w:t>MARKET 5: Japan / APAC (CRM growth region)</w:t>
      </w:r>
    </w:p>
    <w:p>
      <w:pPr>
        <w:pStyle w:val="ListBullet"/>
      </w:pPr>
      <w:r>
        <w:rPr>
          <w:rFonts w:ascii="Calibri" w:hAnsi="Calibri"/>
          <w:sz w:val="20"/>
        </w:rPr>
        <w:t>Accepted: Visa/MC, JCB</w:t>
      </w:r>
    </w:p>
    <w:p>
      <w:pPr>
        <w:pStyle w:val="ListBullet"/>
      </w:pPr>
      <w:r>
        <w:rPr>
          <w:rFonts w:ascii="Calibri" w:hAnsi="Calibri"/>
          <w:sz w:val="20"/>
        </w:rPr>
        <w:t>Missing: Konbini, PayPay, KakaoPay, LINE Pay, GrabPay, PromptPay</w:t>
      </w:r>
    </w:p>
    <w:p>
      <w:pPr>
        <w:pStyle w:val="ListBullet"/>
      </w:pPr>
      <w:r>
        <w:rPr>
          <w:rFonts w:ascii="Calibri" w:hAnsi="Calibri"/>
          <w:sz w:val="20"/>
        </w:rPr>
        <w:t>Note: JCB acceptance is positive for Japan, but no local methods for broader APAC. Korea, SEA completely unserved.</w:t>
      </w:r>
    </w:p>
    <w:p>
      <w:pPr>
        <w:pStyle w:val="Heading2"/>
      </w:pPr>
      <w:r>
        <w:rPr>
          <w:rFonts w:ascii="Calibri" w:hAnsi="Calibri"/>
          <w:color w:val="5B4CFF"/>
        </w:rPr>
        <w:t>Key meeting angles:</w:t>
      </w:r>
    </w:p>
    <w:p>
      <w:pPr>
        <w:pStyle w:val="ListBullet"/>
      </w:pPr>
      <w:r>
        <w:rPr>
          <w:rFonts w:ascii="Calibri" w:hAnsi="Calibri"/>
          <w:sz w:val="20"/>
        </w:rPr>
        <w:t>Vista portfolio optimization | Vista Equity Partners owns majority. Payment efficiency and auth uplift directly improve portfolio returns and IPO readiness.</w:t>
      </w:r>
    </w:p>
    <w:p>
      <w:pPr>
        <w:pStyle w:val="ListBullet"/>
      </w:pPr>
      <w:r>
        <w:rPr>
          <w:rFonts w:ascii="Calibri" w:hAnsi="Calibri"/>
          <w:sz w:val="20"/>
        </w:rPr>
        <w:t>PayPal blocked in UK | One of the largest European CRM markets with no wallet option. BACS is the only non-card alternative.</w:t>
      </w:r>
    </w:p>
    <w:p>
      <w:pPr>
        <w:pStyle w:val="ListBullet"/>
      </w:pPr>
      <w:r>
        <w:rPr>
          <w:rFonts w:ascii="Calibri" w:hAnsi="Calibri"/>
          <w:sz w:val="20"/>
        </w:rPr>
        <w:t>Brazil $10K cap | Federal law caps local card payments at $10K/month. Larger Brazilian sales teams literally cannot pay. Pix via orchestration solves this.</w:t>
      </w:r>
    </w:p>
    <w:p>
      <w:pPr>
        <w:pStyle w:val="ListBullet"/>
      </w:pPr>
      <w:r>
        <w:rPr>
          <w:rFonts w:ascii="Calibri" w:hAnsi="Calibri"/>
          <w:sz w:val="20"/>
        </w:rPr>
        <w:t>100K+ customers in 179 countries | Global SMB base with limited local methods. Each unlocked method drives self-serve conversions.</w:t>
      </w:r>
    </w:p>
    <w:p>
      <w:pPr>
        <w:pStyle w:val="ListBullet"/>
      </w:pPr>
      <w:r>
        <w:rPr>
          <w:rFonts w:ascii="Calibri" w:hAnsi="Calibri"/>
          <w:sz w:val="20"/>
        </w:rPr>
        <w:t>SEPA 5-day lock | Billing changes blocked during SEPA processing. Creates friction during team scaling moments.</w:t>
      </w:r>
    </w:p>
    <w:p>
      <w:pPr>
        <w:pStyle w:val="ListBullet"/>
      </w:pPr>
      <w:r>
        <w:rPr>
          <w:rFonts w:ascii="Calibri" w:hAnsi="Calibri"/>
          <w:sz w:val="20"/>
        </w:rPr>
        <w:t>CRM market competition | Salesforce, HubSpot, and Zoho offer broader payment options. Payment flexibility is a competitive differentiator.</w:t>
      </w:r>
    </w:p>
    <w:p>
      <w:pPr>
        <w:pStyle w:val="ListBullet"/>
      </w:pPr>
      <w:r>
        <w:rPr>
          <w:rFonts w:ascii="Calibri" w:hAnsi="Calibri"/>
          <w:sz w:val="20"/>
        </w:rPr>
        <w:t>$230M+ revenue with growth trajectory | 10-15% annual growth. Payment optimization directly accelerates the path to profitability and potential IPO.</w:t>
      </w:r>
    </w:p>
    <w:p>
      <w:pPr>
        <w:pStyle w:val="Heading2"/>
      </w:pPr>
      <w:r>
        <w:rPr>
          <w:rFonts w:ascii="Calibri" w:hAnsi="Calibri"/>
          <w:color w:val="5B4CFF"/>
        </w:rPr>
        <w:t>Sources:</w:t>
      </w:r>
    </w:p>
    <w:p>
      <w:pPr>
        <w:pStyle w:val="ListBullet"/>
      </w:pPr>
      <w:r>
        <w:rPr>
          <w:rFonts w:ascii="Calibri" w:hAnsi="Calibri"/>
          <w:sz w:val="18"/>
        </w:rPr>
        <w:t>Pipedrive: Accepted Payment Methods (https://support.pipedrive.com/en/article/what-are-the-accepted-payment-methods-for-pipedrive)</w:t>
      </w:r>
    </w:p>
    <w:p>
      <w:pPr>
        <w:pStyle w:val="ListBullet"/>
      </w:pPr>
      <w:r>
        <w:rPr>
          <w:rFonts w:ascii="Calibri" w:hAnsi="Calibri"/>
          <w:sz w:val="18"/>
        </w:rPr>
        <w:t>Pipedrive: How to Start Paying (https://support.pipedrive.com/en/article/how-can-i-start-paying-for-pipedrive)</w:t>
      </w:r>
    </w:p>
    <w:p>
      <w:pPr>
        <w:pStyle w:val="ListBullet"/>
      </w:pPr>
      <w:r>
        <w:rPr>
          <w:rFonts w:ascii="Calibri" w:hAnsi="Calibri"/>
          <w:sz w:val="18"/>
        </w:rPr>
        <w:t>Pipedrive: Billing Category (https://support.pipedrive.com/en/category/billing)</w:t>
      </w:r>
    </w:p>
    <w:p>
      <w:pPr>
        <w:pStyle w:val="ListBullet"/>
      </w:pPr>
      <w:r>
        <w:rPr>
          <w:rFonts w:ascii="Calibri" w:hAnsi="Calibri"/>
          <w:sz w:val="18"/>
        </w:rPr>
        <w:t>Pipedrive: Brazil Local Card Payments (https://support.pipedrive.com/en/article/paying-for-pipedrive-with-a-local-credit-card-brazil)</w:t>
      </w:r>
    </w:p>
    <w:p>
      <w:pPr>
        <w:pStyle w:val="ListBullet"/>
      </w:pPr>
      <w:r>
        <w:rPr>
          <w:rFonts w:ascii="Calibri" w:hAnsi="Calibri"/>
          <w:sz w:val="18"/>
        </w:rPr>
        <w:t>Pipedrive: Billing Troubleshooting (https://support.pipedrive.com/en/article/billing-troubleshooting)</w:t>
      </w:r>
    </w:p>
    <w:p>
      <w:pPr>
        <w:pStyle w:val="ListBullet"/>
      </w:pPr>
      <w:r>
        <w:rPr>
          <w:rFonts w:ascii="Calibri" w:hAnsi="Calibri"/>
          <w:sz w:val="18"/>
        </w:rPr>
        <w:t>Pipedrive: Update Billing Details (https://support.pipedrive.com/en/article/how-can-i-update-my-billing-details-in-pipedrive)</w:t>
      </w:r>
    </w:p>
    <w:p>
      <w:pPr>
        <w:pStyle w:val="ListBullet"/>
      </w:pPr>
      <w:r>
        <w:rPr>
          <w:rFonts w:ascii="Calibri" w:hAnsi="Calibri"/>
          <w:sz w:val="18"/>
        </w:rPr>
        <w:t>Pipedrive: Pricing (https://www.pipedrive.com/en/pricing)</w:t>
      </w:r>
    </w:p>
    <w:p>
      <w:pPr>
        <w:pStyle w:val="ListBullet"/>
      </w:pPr>
      <w:r>
        <w:rPr>
          <w:rFonts w:ascii="Calibri" w:hAnsi="Calibri"/>
          <w:sz w:val="18"/>
        </w:rPr>
        <w:t>Pipedrive: Vista Equity Partners Investment (https://www.pipedrive.com/en/blog/vista-equity-partners-make-majority-investment-pipedrive)</w:t>
      </w:r>
    </w:p>
    <w:p>
      <w:pPr>
        <w:pStyle w:val="ListBullet"/>
      </w:pPr>
      <w:r>
        <w:rPr>
          <w:rFonts w:ascii="Calibri" w:hAnsi="Calibri"/>
          <w:sz w:val="18"/>
        </w:rPr>
        <w:t>TechCrunch: Pipedrive Vista Investment (https://techcrunch.com/2020/11/12/european-unicorns-are-no-longer-a-pipe-dream/)</w:t>
      </w:r>
    </w:p>
    <w:p>
      <w:pPr>
        <w:pStyle w:val="ListBullet"/>
      </w:pPr>
      <w:r>
        <w:rPr>
          <w:rFonts w:ascii="Calibri" w:hAnsi="Calibri"/>
          <w:sz w:val="18"/>
        </w:rPr>
        <w:t>PitchBook: Vista Pipedrive Deal (https://pitchbook.com/newsletter/vista-to-take-control-of-pipedrive-in-15b-deal)</w:t>
      </w:r>
    </w:p>
    <w:p>
      <w:pPr>
        <w:pStyle w:val="ListBullet"/>
      </w:pPr>
      <w:r>
        <w:rPr>
          <w:rFonts w:ascii="Calibri" w:hAnsi="Calibri"/>
          <w:sz w:val="18"/>
        </w:rPr>
        <w:t>Wikipedia: Pipedrive (https://en.wikipedia.org/wiki/Pipedrive)</w:t>
      </w:r>
    </w:p>
    <w:p>
      <w:pPr>
        <w:pStyle w:val="ListBullet"/>
      </w:pPr>
      <w:r>
        <w:rPr>
          <w:rFonts w:ascii="Calibri" w:hAnsi="Calibri"/>
          <w:sz w:val="18"/>
        </w:rPr>
        <w:t>BoostStash: Pipedrive Revenue 2025 (https://www.booststash.com/pipedrive-revenue-2025/)</w:t>
      </w:r>
    </w:p>
    <w:p>
      <w:pPr>
        <w:pStyle w:val="ListBullet"/>
      </w:pPr>
      <w:r>
        <w:rPr>
          <w:rFonts w:ascii="Calibri" w:hAnsi="Calibri"/>
          <w:sz w:val="18"/>
        </w:rPr>
        <w:t>ElectroIQ: Pipedrive Statistics (https://electroiq.com/stats/pipedrive-statistics/)</w:t>
      </w:r>
    </w:p>
    <w:p>
      <w:pPr>
        <w:pStyle w:val="ListBullet"/>
      </w:pPr>
      <w:r>
        <w:rPr>
          <w:rFonts w:ascii="Calibri" w:hAnsi="Calibri"/>
          <w:sz w:val="18"/>
        </w:rPr>
        <w:t>Getlatka: Pipedrive Revenue (https://getlatka.com/companies/pipedrive)</w:t>
      </w:r>
    </w:p>
    <w:p>
      <w:pPr>
        <w:pStyle w:val="ListBullet"/>
      </w:pPr>
      <w:r>
        <w:rPr>
          <w:rFonts w:ascii="Calibri" w:hAnsi="Calibri"/>
          <w:sz w:val="18"/>
        </w:rPr>
        <w:t>Pipedrive Community: Ordering &amp; Payment (https://community.pipedrive.com/discussion/17332/ordering-payment-method)</w:t>
      </w:r>
    </w:p>
    <w:p>
      <w:pPr>
        <w:pStyle w:val="ListBullet"/>
      </w:pPr>
      <w:r>
        <w:rPr>
          <w:rFonts w:ascii="Calibri" w:hAnsi="Calibri"/>
          <w:sz w:val="18"/>
        </w:rPr>
        <w:t>Brandfetch: Pipedrive Logo (https://brandfetch.com/pipedrive.com)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