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RAYA | Stripe Sessions Research (SS Database Format)</w:t>
      </w:r>
    </w:p>
    <w:p>
      <w:r>
        <w:t>Generated: 2026-04-21</w:t>
      </w:r>
    </w:p>
    <w:p>
      <w:pPr>
        <w:pStyle w:val="Heading2"/>
      </w:pPr>
      <w:r>
        <w:t>DATABASE FIELDS: Raya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https://asset.brandfetch.io/id_xHSbAdO/idYFIk5eqn.png</w:t>
            </w:r>
          </w:p>
        </w:tc>
      </w:tr>
      <w:tr>
        <w:tc>
          <w:tcPr>
            <w:tcW w:type="dxa" w:w="4320"/>
          </w:tcPr>
          <w:p>
            <w:r>
              <w:t>Nombre merchant</w:t>
            </w:r>
          </w:p>
        </w:tc>
        <w:tc>
          <w:tcPr>
            <w:tcW w:type="dxa" w:w="4320"/>
          </w:tcPr>
          <w:p>
            <w:r>
              <w:t>Raya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PAIN POINTS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Tittle_Pain Point_1</w:t>
            </w:r>
          </w:p>
        </w:tc>
        <w:tc>
          <w:tcPr>
            <w:tcW w:type="dxa" w:w="4320"/>
          </w:tcPr>
          <w:p>
            <w:r>
              <w:t>Apple Tax Erosion</w:t>
            </w:r>
          </w:p>
        </w:tc>
      </w:tr>
      <w:tr>
        <w:tc>
          <w:tcPr>
            <w:tcW w:type="dxa" w:w="4320"/>
          </w:tcPr>
          <w:p>
            <w:r>
              <w:t>Tittle_Pain Point_2</w:t>
            </w:r>
          </w:p>
        </w:tc>
        <w:tc>
          <w:tcPr>
            <w:tcW w:type="dxa" w:w="4320"/>
          </w:tcPr>
          <w:p>
            <w:r>
              <w:t>iOS-Only Revenue Cap</w:t>
            </w:r>
          </w:p>
        </w:tc>
      </w:tr>
      <w:tr>
        <w:tc>
          <w:tcPr>
            <w:tcW w:type="dxa" w:w="4320"/>
          </w:tcPr>
          <w:p>
            <w:r>
              <w:t>Tittle_Pain Point_3</w:t>
            </w:r>
          </w:p>
        </w:tc>
        <w:tc>
          <w:tcPr>
            <w:tcW w:type="dxa" w:w="4320"/>
          </w:tcPr>
          <w:p>
            <w:r>
              <w:t>Zero Web Billing</w:t>
            </w:r>
          </w:p>
        </w:tc>
      </w:tr>
      <w:tr>
        <w:tc>
          <w:tcPr>
            <w:tcW w:type="dxa" w:w="4320"/>
          </w:tcPr>
          <w:p>
            <w:r>
              <w:t>Tittle_Pain Point_4</w:t>
            </w:r>
          </w:p>
        </w:tc>
        <w:tc>
          <w:tcPr>
            <w:tcW w:type="dxa" w:w="4320"/>
          </w:tcPr>
          <w:p>
            <w:r>
              <w:t>Global Reach, Local Gap</w:t>
            </w:r>
          </w:p>
        </w:tc>
      </w:tr>
      <w:tr>
        <w:tc>
          <w:tcPr>
            <w:tcW w:type="dxa" w:w="4320"/>
          </w:tcPr>
          <w:p>
            <w:r>
              <w:t>Tittle_Pain Point_5</w:t>
            </w:r>
          </w:p>
        </w:tc>
        <w:tc>
          <w:tcPr>
            <w:tcW w:type="dxa" w:w="4320"/>
          </w:tcPr>
          <w:p>
            <w:r>
              <w:t>Involuntary Churn Risk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Desc_Pain Point_1</w:t>
            </w:r>
          </w:p>
        </w:tc>
        <w:tc>
          <w:tcPr>
            <w:tcW w:type="dxa" w:w="4320"/>
          </w:tcPr>
          <w:p>
            <w:r>
              <w:t>100% of subscriptions flow through Apple IAP, surrendering 15-30% per transaction. At ~$60M ARR, Apple keeps $9M to $18M/year in commissions.</w:t>
            </w:r>
          </w:p>
        </w:tc>
      </w:tr>
      <w:tr>
        <w:tc>
          <w:tcPr>
            <w:tcW w:type="dxa" w:w="4320"/>
          </w:tcPr>
          <w:p>
            <w:r>
              <w:t>Desc_Pain Point_2</w:t>
            </w:r>
          </w:p>
        </w:tc>
        <w:tc>
          <w:tcPr>
            <w:tcW w:type="dxa" w:w="4320"/>
          </w:tcPr>
          <w:p>
            <w:r>
              <w:t>iOS-only with no Android or web checkout. Any Apple policy shift, fee hike, or App Store disruption blocks 100% of sign-ups and renewals worldwide.</w:t>
            </w:r>
          </w:p>
        </w:tc>
      </w:tr>
      <w:tr>
        <w:tc>
          <w:tcPr>
            <w:tcW w:type="dxa" w:w="4320"/>
          </w:tcPr>
          <w:p>
            <w:r>
              <w:t>Desc_Pain Point_3</w:t>
            </w:r>
          </w:p>
        </w:tc>
        <w:tc>
          <w:tcPr>
            <w:tcW w:type="dxa" w:w="4320"/>
          </w:tcPr>
          <w:p>
            <w:r>
              <w:t>No web checkout exists despite the April 2025 US ruling allowing external payment links. Raya leaves millions in margin by not offering web billing.</w:t>
            </w:r>
          </w:p>
        </w:tc>
      </w:tr>
      <w:tr>
        <w:tc>
          <w:tcPr>
            <w:tcW w:type="dxa" w:w="4320"/>
          </w:tcPr>
          <w:p>
            <w:r>
              <w:t>Desc_Pain Point_4</w:t>
            </w:r>
          </w:p>
        </w:tc>
        <w:tc>
          <w:tcPr>
            <w:tcW w:type="dxa" w:w="4320"/>
          </w:tcPr>
          <w:p>
            <w:r>
              <w:t>Members span LA, New York, London, Paris, and Berlin, but zero local payment methods are offered. European members cannot pay via SEPA, iDEAL, or Bancontact.</w:t>
            </w:r>
          </w:p>
        </w:tc>
      </w:tr>
      <w:tr>
        <w:tc>
          <w:tcPr>
            <w:tcW w:type="dxa" w:w="4320"/>
          </w:tcPr>
          <w:p>
            <w:r>
              <w:t>Desc_Pain Point_5</w:t>
            </w:r>
          </w:p>
        </w:tc>
        <w:tc>
          <w:tcPr>
            <w:tcW w:type="dxa" w:w="4320"/>
          </w:tcPr>
          <w:p>
            <w:r>
              <w:t>All renewals depend on a single Apple billing path. Expired cards and soft declines silently churn premium members at $20-$50/mo with no retry path.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PSP TOPOLOGY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PSP_1</w:t>
            </w:r>
          </w:p>
        </w:tc>
        <w:tc>
          <w:tcPr>
            <w:tcW w:type="dxa" w:w="4320"/>
          </w:tcPr>
          <w:p>
            <w:r>
              <w:t>Apple In-App Purchase</w:t>
            </w:r>
          </w:p>
        </w:tc>
      </w:tr>
      <w:tr>
        <w:tc>
          <w:tcPr>
            <w:tcW w:type="dxa" w:w="4320"/>
          </w:tcPr>
          <w:p>
            <w:r>
              <w:t>PSP_2</w:t>
            </w:r>
          </w:p>
        </w:tc>
        <w:tc>
          <w:tcPr>
            <w:tcW w:type="dxa" w:w="4320"/>
          </w:tcPr>
          <w:p>
            <w:r>
              <w:t>Stripe (privacy policy)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MISSING LOCAL METHODS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Local_M_1</w:t>
            </w:r>
          </w:p>
        </w:tc>
        <w:tc>
          <w:tcPr>
            <w:tcW w:type="dxa" w:w="4320"/>
          </w:tcPr>
          <w:p>
            <w:r>
              <w:t>SEPA Direct Debit</w:t>
            </w:r>
          </w:p>
        </w:tc>
      </w:tr>
      <w:tr>
        <w:tc>
          <w:tcPr>
            <w:tcW w:type="dxa" w:w="4320"/>
          </w:tcPr>
          <w:p>
            <w:r>
              <w:t>Local_M_2</w:t>
            </w:r>
          </w:p>
        </w:tc>
        <w:tc>
          <w:tcPr>
            <w:tcW w:type="dxa" w:w="4320"/>
          </w:tcPr>
          <w:p>
            <w:r>
              <w:t>iDEAL</w:t>
            </w:r>
          </w:p>
        </w:tc>
      </w:tr>
      <w:tr>
        <w:tc>
          <w:tcPr>
            <w:tcW w:type="dxa" w:w="4320"/>
          </w:tcPr>
          <w:p>
            <w:r>
              <w:t>Local_M_3</w:t>
            </w:r>
          </w:p>
        </w:tc>
        <w:tc>
          <w:tcPr>
            <w:tcW w:type="dxa" w:w="4320"/>
          </w:tcPr>
          <w:p>
            <w:r>
              <w:t>Bancontact</w:t>
            </w:r>
          </w:p>
        </w:tc>
      </w:tr>
      <w:tr>
        <w:tc>
          <w:tcPr>
            <w:tcW w:type="dxa" w:w="4320"/>
          </w:tcPr>
          <w:p>
            <w:r>
              <w:t>Local_M_4</w:t>
            </w:r>
          </w:p>
        </w:tc>
        <w:tc>
          <w:tcPr>
            <w:tcW w:type="dxa" w:w="4320"/>
          </w:tcPr>
          <w:p>
            <w:r>
              <w:t>Sofort</w:t>
            </w:r>
          </w:p>
        </w:tc>
      </w:tr>
      <w:tr>
        <w:tc>
          <w:tcPr>
            <w:tcW w:type="dxa" w:w="4320"/>
          </w:tcPr>
          <w:p>
            <w:r>
              <w:t>Local_M_5</w:t>
            </w:r>
          </w:p>
        </w:tc>
        <w:tc>
          <w:tcPr>
            <w:tcW w:type="dxa" w:w="4320"/>
          </w:tcPr>
          <w:p>
            <w:r>
              <w:t>BLIK</w:t>
            </w:r>
          </w:p>
        </w:tc>
      </w:tr>
      <w:tr>
        <w:tc>
          <w:tcPr>
            <w:tcW w:type="dxa" w:w="4320"/>
          </w:tcPr>
          <w:p>
            <w:r>
              <w:t>Local_M_6</w:t>
            </w:r>
          </w:p>
        </w:tc>
        <w:tc>
          <w:tcPr>
            <w:tcW w:type="dxa" w:w="4320"/>
          </w:tcPr>
          <w:p>
            <w:r>
              <w:t>Pix</w:t>
            </w:r>
          </w:p>
        </w:tc>
      </w:tr>
      <w:tr>
        <w:tc>
          <w:tcPr>
            <w:tcW w:type="dxa" w:w="4320"/>
          </w:tcPr>
          <w:p>
            <w:r>
              <w:t>Local_M_7</w:t>
            </w:r>
          </w:p>
        </w:tc>
        <w:tc>
          <w:tcPr>
            <w:tcW w:type="dxa" w:w="4320"/>
          </w:tcPr>
          <w:p>
            <w:r>
              <w:t>Google Pay</w:t>
            </w:r>
          </w:p>
        </w:tc>
      </w:tr>
      <w:tr>
        <w:tc>
          <w:tcPr>
            <w:tcW w:type="dxa" w:w="4320"/>
          </w:tcPr>
          <w:p>
            <w:r>
              <w:t>Local_M_8</w:t>
            </w:r>
          </w:p>
        </w:tc>
        <w:tc>
          <w:tcPr>
            <w:tcW w:type="dxa" w:w="4320"/>
          </w:tcPr>
          <w:p>
            <w:r>
              <w:t>PayPal</w:t>
            </w:r>
          </w:p>
        </w:tc>
      </w:tr>
      <w:tr>
        <w:tc>
          <w:tcPr>
            <w:tcW w:type="dxa" w:w="4320"/>
          </w:tcPr>
          <w:p>
            <w:r>
              <w:t>Local_M_9</w:t>
            </w:r>
          </w:p>
        </w:tc>
        <w:tc>
          <w:tcPr>
            <w:tcW w:type="dxa" w:w="4320"/>
          </w:tcPr>
          <w:p>
            <w:r>
              <w:t>Giropay</w:t>
            </w:r>
          </w:p>
        </w:tc>
      </w:tr>
      <w:tr>
        <w:tc>
          <w:tcPr>
            <w:tcW w:type="dxa" w:w="4320"/>
          </w:tcPr>
          <w:p>
            <w:r>
              <w:t>Local_M_10</w:t>
            </w:r>
          </w:p>
        </w:tc>
        <w:tc>
          <w:tcPr>
            <w:tcW w:type="dxa" w:w="4320"/>
          </w:tcPr>
          <w:p>
            <w:r>
              <w:t>Swish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2: YUNO CAPABILITIES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Tittle_Yuno_Cap1</w:t>
            </w:r>
          </w:p>
        </w:tc>
        <w:tc>
          <w:tcPr>
            <w:tcW w:type="dxa" w:w="4320"/>
          </w:tcPr>
          <w:p>
            <w:r>
              <w:t>Smart Routing</w:t>
            </w:r>
          </w:p>
        </w:tc>
      </w:tr>
      <w:tr>
        <w:tc>
          <w:tcPr>
            <w:tcW w:type="dxa" w:w="4320"/>
          </w:tcPr>
          <w:p>
            <w:r>
              <w:t>Tittle_Yuno_Cap2</w:t>
            </w:r>
          </w:p>
        </w:tc>
        <w:tc>
          <w:tcPr>
            <w:tcW w:type="dxa" w:w="4320"/>
          </w:tcPr>
          <w:p>
            <w:r>
              <w:t>Failover &amp; Retries</w:t>
            </w:r>
          </w:p>
        </w:tc>
      </w:tr>
      <w:tr>
        <w:tc>
          <w:tcPr>
            <w:tcW w:type="dxa" w:w="4320"/>
          </w:tcPr>
          <w:p>
            <w:r>
              <w:t>Tittle_Yuno_Cap3</w:t>
            </w:r>
          </w:p>
        </w:tc>
        <w:tc>
          <w:tcPr>
            <w:tcW w:type="dxa" w:w="4320"/>
          </w:tcPr>
          <w:p>
            <w:r>
              <w:t>Local Payment Methods</w:t>
            </w:r>
          </w:p>
        </w:tc>
      </w:tr>
      <w:tr>
        <w:tc>
          <w:tcPr>
            <w:tcW w:type="dxa" w:w="4320"/>
          </w:tcPr>
          <w:p>
            <w:r>
              <w:t>Tittle_Yuno_Cap4</w:t>
            </w:r>
          </w:p>
        </w:tc>
        <w:tc>
          <w:tcPr>
            <w:tcW w:type="dxa" w:w="4320"/>
          </w:tcPr>
          <w:p>
            <w:r>
              <w:t>Web Checkout Orchestration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Desc_Yuno_Cap1</w:t>
            </w:r>
          </w:p>
        </w:tc>
        <w:tc>
          <w:tcPr>
            <w:tcW w:type="dxa" w:w="4320"/>
          </w:tcPr>
          <w:p>
            <w:r>
              <w:t>Route each subscription charge to the highest performing acquirer by member country and card BIN. At $60M+ ARR across 10+ countries, even a 3% auth uplift recovers $1.8M+ in annual revenue while reducing Apple dependency per transaction.</w:t>
            </w:r>
          </w:p>
        </w:tc>
      </w:tr>
      <w:tr>
        <w:tc>
          <w:tcPr>
            <w:tcW w:type="dxa" w:w="4320"/>
          </w:tcPr>
          <w:p>
            <w:r>
              <w:t>Desc_Yuno_Cap2</w:t>
            </w:r>
          </w:p>
        </w:tc>
        <w:tc>
          <w:tcPr>
            <w:tcW w:type="dxa" w:w="4320"/>
          </w:tcPr>
          <w:p>
            <w:r>
              <w:t>When Apple IAP or Stripe declines a $20 to $50/mo renewal, Yuno cascades to the next best processor in milliseconds. Recovers up to 50% of failed recurring charges, turning silent member churn into retained premium revenue.</w:t>
            </w:r>
          </w:p>
        </w:tc>
      </w:tr>
      <w:tr>
        <w:tc>
          <w:tcPr>
            <w:tcW w:type="dxa" w:w="4320"/>
          </w:tcPr>
          <w:p>
            <w:r>
              <w:t>Desc_Yuno_Cap3</w:t>
            </w:r>
          </w:p>
        </w:tc>
        <w:tc>
          <w:tcPr>
            <w:tcW w:type="dxa" w:w="4320"/>
          </w:tcPr>
          <w:p>
            <w:r>
              <w:t>Unlocks payment methods Raya's global members expect: SEPA DD for London/Paris/Berlin, iDEAL for Netherlands, Bancontact for Belgium, BLIK for Poland, PayPal as universal fallback. One API, 1,000+ methods, no per-market engineering.</w:t>
            </w:r>
          </w:p>
        </w:tc>
      </w:tr>
      <w:tr>
        <w:tc>
          <w:tcPr>
            <w:tcW w:type="dxa" w:w="4320"/>
          </w:tcPr>
          <w:p>
            <w:r>
              <w:t>Desc_Yuno_Cap4</w:t>
            </w:r>
          </w:p>
        </w:tc>
        <w:tc>
          <w:tcPr>
            <w:tcW w:type="dxa" w:w="4320"/>
          </w:tcPr>
          <w:p>
            <w:r>
              <w:t>Single integration powers a web subscription checkout outside Apple IAP, recapturing 15-30% in App Store commissions. Post-Epic ruling, Raya can legally direct US members to a Yuno-powered web flow and keep 100% of subscription revenue.</w:t>
            </w:r>
          </w:p>
        </w:tc>
      </w:tr>
    </w:tbl>
    <w:p>
      <w:pPr>
        <w:pStyle w:val="Heading2"/>
      </w:pPr>
      <w:r>
        <w:t>RESEARCH BACKING | Key Facts for the Meeting</w:t>
      </w:r>
    </w:p>
    <w:p>
      <w:pPr>
        <w:pStyle w:val="Heading3"/>
      </w:pPr>
      <w:r>
        <w:t>Raya at a glance:</w:t>
      </w:r>
    </w:p>
    <w:p>
      <w:pPr>
        <w:pStyle w:val="ListBullet"/>
      </w:pPr>
      <w:r>
        <w:t>Exclusive membership-based social/dating app for creatives and celebrities</w:t>
      </w:r>
    </w:p>
    <w:p>
      <w:pPr>
        <w:pStyle w:val="ListBullet"/>
      </w:pPr>
      <w:r>
        <w:t>Founded: 2015 by Daniel Gendelman (CEO). HQ: Los Angeles, CA</w:t>
      </w:r>
    </w:p>
    <w:p>
      <w:pPr>
        <w:pStyle w:val="ListBullet"/>
      </w:pPr>
      <w:r>
        <w:t>Revenue: ~$60M ARR ($5M/mo, Sensor Tower Feb 2026). $100M+ lifetime spending</w:t>
      </w:r>
    </w:p>
    <w:p>
      <w:pPr>
        <w:pStyle w:val="ListBullet"/>
      </w:pPr>
      <w:r>
        <w:t>Funding: $15.5M raised. ~114 employees</w:t>
      </w:r>
    </w:p>
    <w:p>
      <w:pPr>
        <w:pStyle w:val="ListBullet"/>
      </w:pPr>
      <w:r>
        <w:t>iOS only. No Android. No web version.</w:t>
      </w:r>
    </w:p>
    <w:p>
      <w:pPr>
        <w:pStyle w:val="ListBullet"/>
      </w:pPr>
      <w:r>
        <w:t>Standard: $19.99/mo. Raya+: $49.99/mo. ~8% acceptance rate</w:t>
      </w:r>
    </w:p>
    <w:p>
      <w:pPr>
        <w:pStyle w:val="Heading3"/>
      </w:pPr>
      <w:r>
        <w:t>Confirmed PSPs:</w:t>
      </w:r>
    </w:p>
    <w:p>
      <w:pPr>
        <w:pStyle w:val="ListBullet"/>
      </w:pPr>
      <w:r>
        <w:t>Apple In-App Purchase: 100% of billing</w:t>
      </w:r>
    </w:p>
    <w:p>
      <w:pPr>
        <w:pStyle w:val="ListBullet"/>
      </w:pPr>
      <w:r>
        <w:t>Stripe: named in privacy policy as processor</w:t>
      </w:r>
    </w:p>
    <w:p>
      <w:pPr>
        <w:pStyle w:val="ListBullet"/>
      </w:pPr>
      <w:r>
        <w:t>No web checkout, no Android, no orchestrator</w:t>
      </w:r>
    </w:p>
    <w:p>
      <w:pPr>
        <w:pStyle w:val="Heading3"/>
      </w:pPr>
      <w:r>
        <w:t>Key meeting angles:</w:t>
      </w:r>
    </w:p>
    <w:p>
      <w:pPr>
        <w:pStyle w:val="ListBullet"/>
      </w:pPr>
      <w:r>
        <w:t>Apple Tax recapture: 15-30% on $60M ARR = $9-18M/year to Apple</w:t>
      </w:r>
    </w:p>
    <w:p>
      <w:pPr>
        <w:pStyle w:val="ListBullet"/>
      </w:pPr>
      <w:r>
        <w:t>Epic ruling window: US apps can link to external payment since April 2025</w:t>
      </w:r>
    </w:p>
    <w:p>
      <w:pPr>
        <w:pStyle w:val="ListBullet"/>
      </w:pPr>
      <w:r>
        <w:t>Single point of failure: 100% via Apple IAP</w:t>
      </w:r>
    </w:p>
    <w:p>
      <w:pPr>
        <w:pStyle w:val="ListBullet"/>
      </w:pPr>
      <w:r>
        <w:t>European local methods: zero SEPA, zero Open Banking</w:t>
      </w:r>
    </w:p>
    <w:p>
      <w:pPr>
        <w:pStyle w:val="ListBullet"/>
      </w:pPr>
      <w:r>
        <w:t>Android + web unlock: Yuno web checkout opens new platforms</w:t>
      </w:r>
    </w:p>
    <w:p>
      <w:pPr>
        <w:pStyle w:val="ListBullet"/>
      </w:pPr>
      <w:r>
        <w:t>Competitor benchmark: Bumble, Hinge, Tinder all offer web billing + local APMs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