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i w:val="0"/>
          <w:color w:val="5B4CFF"/>
          <w:sz w:val="32"/>
        </w:rPr>
        <w:t>HIMS &amp; HERS | Stripe Sessions Research (SS Database Format)</w:t>
      </w:r>
    </w:p>
    <w:p>
      <w:pPr>
        <w:spacing w:after="240"/>
      </w:pPr>
      <w:r>
        <w:rPr>
          <w:rFonts w:ascii="Calibri" w:hAnsi="Calibri"/>
          <w:b w:val="0"/>
          <w:i/>
          <w:color w:val="999999"/>
          <w:sz w:val="20"/>
        </w:rPr>
        <w:t>Generated: 2026-04-21</w:t>
      </w:r>
    </w:p>
    <w:p>
      <w:pPr>
        <w:spacing w:before="80" w:after="80"/>
      </w:pPr>
      <w:r>
        <w:rPr>
          <w:rFonts w:ascii="Calibri" w:hAnsi="Calibri"/>
          <w:b/>
          <w:i w:val="0"/>
          <w:sz w:val="20"/>
        </w:rPr>
        <w:t>═══════════════════════════════════════</w:t>
      </w:r>
    </w:p>
    <w:p>
      <w:pPr>
        <w:spacing w:before="40" w:after="40"/>
      </w:pPr>
      <w:r>
        <w:rPr>
          <w:rFonts w:ascii="Calibri" w:hAnsi="Calibri"/>
          <w:b/>
          <w:i w:val="0"/>
          <w:color w:val="5B4CFF"/>
          <w:sz w:val="28"/>
        </w:rPr>
        <w:t>DATABASE FIELDS: hims &amp; hers</w:t>
      </w:r>
    </w:p>
    <w:p>
      <w:pPr>
        <w:spacing w:before="80" w:after="80"/>
      </w:pPr>
      <w:r>
        <w:rPr>
          <w:rFonts w:ascii="Calibri" w:hAnsi="Calibri"/>
          <w:b/>
          <w:i w:val="0"/>
          <w:sz w:val="20"/>
        </w:rPr>
        <w:t>═══════════════════════════════════════</w:t>
      </w:r>
    </w:p>
    <w:p/>
    <w:p>
      <w:pPr>
        <w:shd w:fill="F2F2F2" w:val="clear"/>
      </w:pPr>
      <w:r>
        <w:rPr>
          <w:rFonts w:ascii="Calibri" w:hAnsi="Calibri"/>
          <w:b/>
          <w:i w:val="0"/>
          <w:color w:val="5B4CFF"/>
          <w:sz w:val="20"/>
        </w:rPr>
        <w:t xml:space="preserve">Logo: </w:t>
      </w:r>
      <w:r>
        <w:rPr>
          <w:rFonts w:ascii="Calibri" w:hAnsi="Calibri"/>
          <w:b w:val="0"/>
          <w:i w:val="0"/>
          <w:sz w:val="20"/>
        </w:rPr>
        <w:t>https://companieslogo.com/img/orig/HIMS-1e1322ee.png</w:t>
      </w:r>
      <w:r>
        <w:rPr>
          <w:rFonts w:ascii="Calibri" w:hAnsi="Calibri"/>
          <w:b w:val="0"/>
          <w:i/>
          <w:color w:val="999999"/>
          <w:sz w:val="16"/>
        </w:rPr>
        <w:t xml:space="preserve">  [52 chars]</w:t>
      </w:r>
    </w:p>
    <w:p>
      <w:pPr>
        <w:shd w:fill="F2F2F2" w:val="clear"/>
      </w:pPr>
      <w:r>
        <w:rPr>
          <w:rFonts w:ascii="Calibri" w:hAnsi="Calibri"/>
          <w:b/>
          <w:i w:val="0"/>
          <w:color w:val="5B4CFF"/>
          <w:sz w:val="20"/>
        </w:rPr>
        <w:t xml:space="preserve">Nombre merchant: </w:t>
      </w:r>
      <w:r>
        <w:rPr>
          <w:rFonts w:ascii="Calibri" w:hAnsi="Calibri"/>
          <w:b w:val="0"/>
          <w:i w:val="0"/>
          <w:sz w:val="20"/>
        </w:rPr>
        <w:t>hims &amp; hers</w:t>
      </w:r>
      <w:r>
        <w:rPr>
          <w:rFonts w:ascii="Calibri" w:hAnsi="Calibri"/>
          <w:b w:val="0"/>
          <w:i/>
          <w:color w:val="999999"/>
          <w:sz w:val="16"/>
        </w:rPr>
        <w:t xml:space="preserve">  [11 chars]</w:t>
      </w:r>
    </w:p>
    <w:p/>
    <w:p>
      <w:pPr>
        <w:spacing w:after="120"/>
      </w:pPr>
      <w:r>
        <w:rPr>
          <w:rFonts w:ascii="Calibri" w:hAnsi="Calibri"/>
          <w:b/>
          <w:i w:val="0"/>
          <w:color w:val="5B4CFF"/>
          <w:sz w:val="26"/>
        </w:rPr>
        <w:t>SLIDE 1: PAIN POINTS</w:t>
      </w:r>
    </w:p>
    <w:p>
      <w:pPr>
        <w:shd w:fill="F2F2F2" w:val="clear"/>
      </w:pPr>
      <w:r>
        <w:rPr>
          <w:rFonts w:ascii="Calibri" w:hAnsi="Calibri"/>
          <w:b/>
          <w:i w:val="0"/>
          <w:color w:val="5B4CFF"/>
          <w:sz w:val="20"/>
        </w:rPr>
        <w:t xml:space="preserve">Tittle_Pain Point_1: </w:t>
      </w:r>
      <w:r>
        <w:rPr>
          <w:rFonts w:ascii="Calibri" w:hAnsi="Calibri"/>
          <w:b w:val="0"/>
          <w:i w:val="0"/>
          <w:sz w:val="20"/>
        </w:rPr>
        <w:t>FTC Probing Subscriptions</w:t>
      </w:r>
      <w:r>
        <w:rPr>
          <w:rFonts w:ascii="Calibri" w:hAnsi="Calibri"/>
          <w:b w:val="0"/>
          <w:i/>
          <w:color w:val="999999"/>
          <w:sz w:val="16"/>
        </w:rPr>
        <w:t xml:space="preserve">  [25 chars]</w:t>
      </w:r>
    </w:p>
    <w:p>
      <w:pPr>
        <w:shd w:fill="F2F2F2" w:val="clear"/>
      </w:pPr>
      <w:r>
        <w:rPr>
          <w:rFonts w:ascii="Calibri" w:hAnsi="Calibri"/>
          <w:b/>
          <w:i w:val="0"/>
          <w:color w:val="5B4CFF"/>
          <w:sz w:val="20"/>
        </w:rPr>
        <w:t xml:space="preserve">Tittle_Pain Point_2: </w:t>
      </w:r>
      <w:r>
        <w:rPr>
          <w:rFonts w:ascii="Calibri" w:hAnsi="Calibri"/>
          <w:b w:val="0"/>
          <w:i w:val="0"/>
          <w:sz w:val="20"/>
        </w:rPr>
        <w:t>6 Countries, Cards Only</w:t>
      </w:r>
      <w:r>
        <w:rPr>
          <w:rFonts w:ascii="Calibri" w:hAnsi="Calibri"/>
          <w:b w:val="0"/>
          <w:i/>
          <w:color w:val="999999"/>
          <w:sz w:val="16"/>
        </w:rPr>
        <w:t xml:space="preserve">  [23 chars]</w:t>
      </w:r>
    </w:p>
    <w:p>
      <w:pPr>
        <w:shd w:fill="F2F2F2" w:val="clear"/>
      </w:pPr>
      <w:r>
        <w:rPr>
          <w:rFonts w:ascii="Calibri" w:hAnsi="Calibri"/>
          <w:b/>
          <w:i w:val="0"/>
          <w:color w:val="5B4CFF"/>
          <w:sz w:val="20"/>
        </w:rPr>
        <w:t xml:space="preserve">Tittle_Pain Point_3: </w:t>
      </w:r>
      <w:r>
        <w:rPr>
          <w:rFonts w:ascii="Calibri" w:hAnsi="Calibri"/>
          <w:b w:val="0"/>
          <w:i w:val="0"/>
          <w:sz w:val="20"/>
        </w:rPr>
        <w:t>Dual PSP, No Orchestrator</w:t>
      </w:r>
      <w:r>
        <w:rPr>
          <w:rFonts w:ascii="Calibri" w:hAnsi="Calibri"/>
          <w:b w:val="0"/>
          <w:i/>
          <w:color w:val="999999"/>
          <w:sz w:val="16"/>
        </w:rPr>
        <w:t xml:space="preserve">  [25 chars]</w:t>
      </w:r>
    </w:p>
    <w:p>
      <w:pPr>
        <w:shd w:fill="F2F2F2" w:val="clear"/>
      </w:pPr>
      <w:r>
        <w:rPr>
          <w:rFonts w:ascii="Calibri" w:hAnsi="Calibri"/>
          <w:b/>
          <w:i w:val="0"/>
          <w:color w:val="5B4CFF"/>
          <w:sz w:val="20"/>
        </w:rPr>
        <w:t xml:space="preserve">Tittle_Pain Point_4: </w:t>
      </w:r>
      <w:r>
        <w:rPr>
          <w:rFonts w:ascii="Calibri" w:hAnsi="Calibri"/>
          <w:b w:val="0"/>
          <w:i w:val="0"/>
          <w:sz w:val="20"/>
        </w:rPr>
        <w:t>Subscription Churn at Scale</w:t>
      </w:r>
      <w:r>
        <w:rPr>
          <w:rFonts w:ascii="Calibri" w:hAnsi="Calibri"/>
          <w:b w:val="0"/>
          <w:i/>
          <w:color w:val="999999"/>
          <w:sz w:val="16"/>
        </w:rPr>
        <w:t xml:space="preserve">  [27 chars]</w:t>
      </w:r>
    </w:p>
    <w:p>
      <w:pPr>
        <w:shd w:fill="F2F2F2" w:val="clear"/>
      </w:pPr>
      <w:r>
        <w:rPr>
          <w:rFonts w:ascii="Calibri" w:hAnsi="Calibri"/>
          <w:b/>
          <w:i w:val="0"/>
          <w:color w:val="5B4CFF"/>
          <w:sz w:val="20"/>
        </w:rPr>
        <w:t xml:space="preserve">Tittle_Pain Point_5: </w:t>
      </w:r>
      <w:r>
        <w:rPr>
          <w:rFonts w:ascii="Calibri" w:hAnsi="Calibri"/>
          <w:b w:val="0"/>
          <w:i w:val="0"/>
          <w:sz w:val="20"/>
        </w:rPr>
        <w:t>Eucalyptus + ZAVA Merge</w:t>
      </w:r>
      <w:r>
        <w:rPr>
          <w:rFonts w:ascii="Calibri" w:hAnsi="Calibri"/>
          <w:b w:val="0"/>
          <w:i/>
          <w:color w:val="999999"/>
          <w:sz w:val="16"/>
        </w:rPr>
        <w:t xml:space="preserve">  [23 chars]</w:t>
      </w:r>
    </w:p>
    <w:p/>
    <w:p>
      <w:pPr>
        <w:shd w:fill="F2F2F2" w:val="clear"/>
      </w:pPr>
      <w:r>
        <w:rPr>
          <w:rFonts w:ascii="Calibri" w:hAnsi="Calibri"/>
          <w:b/>
          <w:i w:val="0"/>
          <w:color w:val="5B4CFF"/>
          <w:sz w:val="20"/>
        </w:rPr>
        <w:t xml:space="preserve">Desc_Pain Point_1: </w:t>
      </w:r>
      <w:r>
        <w:rPr>
          <w:rFonts w:ascii="Calibri" w:hAnsi="Calibri"/>
          <w:b w:val="0"/>
          <w:i w:val="0"/>
          <w:sz w:val="20"/>
        </w:rPr>
        <w:t>FTC investigating hims &amp; hers for over a year. Focus: subscription cancellation barriers and misleading advertising. 900+ BBB complaints in 3 years. Trustpilot 2.8 stars. Regulatory risk is mounting.</w:t>
      </w:r>
    </w:p>
    <w:p>
      <w:pPr>
        <w:shd w:fill="F2F2F2" w:val="clear"/>
        <w:spacing w:before="0" w:after="120"/>
      </w:pPr>
      <w:r>
        <w:rPr>
          <w:rFonts w:ascii="Calibri" w:hAnsi="Calibri"/>
          <w:b w:val="0"/>
          <w:i/>
          <w:color w:val="999999"/>
          <w:sz w:val="16"/>
        </w:rPr>
        <w:t>[199 chars]</w:t>
      </w:r>
    </w:p>
    <w:p>
      <w:pPr>
        <w:shd w:fill="F2F2F2" w:val="clear"/>
      </w:pPr>
      <w:r>
        <w:rPr>
          <w:rFonts w:ascii="Calibri" w:hAnsi="Calibri"/>
          <w:b/>
          <w:i w:val="0"/>
          <w:color w:val="5B4CFF"/>
          <w:sz w:val="20"/>
        </w:rPr>
        <w:t xml:space="preserve">Desc_Pain Point_2: </w:t>
      </w:r>
      <w:r>
        <w:rPr>
          <w:rFonts w:ascii="Calibri" w:hAnsi="Calibri"/>
          <w:b w:val="0"/>
          <w:i w:val="0"/>
          <w:sz w:val="20"/>
        </w:rPr>
        <w:t>hims &amp; hers operates in US, UK, Germany, France, Ireland and expanding to Australia and Japan. Only accepts cards and Apple Pay. No SEPA, Open Banking, giropay, Carte Bancaire, or local APMs in any EU market.</w:t>
      </w:r>
    </w:p>
    <w:p>
      <w:pPr>
        <w:shd w:fill="F2F2F2" w:val="clear"/>
        <w:spacing w:before="0" w:after="120"/>
      </w:pPr>
      <w:r>
        <w:rPr>
          <w:rFonts w:ascii="Calibri" w:hAnsi="Calibri"/>
          <w:b w:val="0"/>
          <w:i/>
          <w:color w:val="999999"/>
          <w:sz w:val="16"/>
        </w:rPr>
        <w:t>[208 chars]</w:t>
      </w:r>
    </w:p>
    <w:p>
      <w:pPr>
        <w:shd w:fill="F2F2F2" w:val="clear"/>
      </w:pPr>
      <w:r>
        <w:rPr>
          <w:rFonts w:ascii="Calibri" w:hAnsi="Calibri"/>
          <w:b/>
          <w:i w:val="0"/>
          <w:color w:val="5B4CFF"/>
          <w:sz w:val="20"/>
        </w:rPr>
        <w:t xml:space="preserve">Desc_Pain Point_3: </w:t>
      </w:r>
      <w:r>
        <w:rPr>
          <w:rFonts w:ascii="Calibri" w:hAnsi="Calibri"/>
          <w:b w:val="0"/>
          <w:i w:val="0"/>
          <w:sz w:val="20"/>
        </w:rPr>
        <w:t>Uses both Stripe and Adyen for payment processing but with no orchestration layer between them. No smart routing, no failover cascade, no unified dashboard. Two PSPs operating independently across 6+ countries.</w:t>
      </w:r>
    </w:p>
    <w:p>
      <w:pPr>
        <w:shd w:fill="F2F2F2" w:val="clear"/>
        <w:spacing w:before="0" w:after="120"/>
      </w:pPr>
      <w:r>
        <w:rPr>
          <w:rFonts w:ascii="Calibri" w:hAnsi="Calibri"/>
          <w:b w:val="0"/>
          <w:i/>
          <w:color w:val="999999"/>
          <w:sz w:val="16"/>
        </w:rPr>
        <w:t>[210 chars]</w:t>
      </w:r>
    </w:p>
    <w:p>
      <w:pPr>
        <w:shd w:fill="F2F2F2" w:val="clear"/>
      </w:pPr>
      <w:r>
        <w:rPr>
          <w:rFonts w:ascii="Calibri" w:hAnsi="Calibri"/>
          <w:b/>
          <w:i w:val="0"/>
          <w:color w:val="5B4CFF"/>
          <w:sz w:val="20"/>
        </w:rPr>
        <w:t xml:space="preserve">Desc_Pain Point_4: </w:t>
      </w:r>
      <w:r>
        <w:rPr>
          <w:rFonts w:ascii="Calibri" w:hAnsi="Calibri"/>
          <w:b w:val="0"/>
          <w:i w:val="0"/>
          <w:sz w:val="20"/>
        </w:rPr>
        <w:t>2.5M+ subscribers with recurring billing. Failed renewals from expired cards, bank declines, and issuer blocks cause involuntary churn. No PSP level retry logic or cascade to recover failed subscription payments.</w:t>
      </w:r>
    </w:p>
    <w:p>
      <w:pPr>
        <w:shd w:fill="F2F2F2" w:val="clear"/>
        <w:spacing w:before="0" w:after="120"/>
      </w:pPr>
      <w:r>
        <w:rPr>
          <w:rFonts w:ascii="Calibri" w:hAnsi="Calibri"/>
          <w:b w:val="0"/>
          <w:i/>
          <w:color w:val="999999"/>
          <w:sz w:val="16"/>
        </w:rPr>
        <w:t>[212 chars]</w:t>
      </w:r>
    </w:p>
    <w:p>
      <w:pPr>
        <w:shd w:fill="F2F2F2" w:val="clear"/>
      </w:pPr>
      <w:r>
        <w:rPr>
          <w:rFonts w:ascii="Calibri" w:hAnsi="Calibri"/>
          <w:b/>
          <w:i w:val="0"/>
          <w:color w:val="5B4CFF"/>
          <w:sz w:val="20"/>
        </w:rPr>
        <w:t xml:space="preserve">Desc_Pain Point_5: </w:t>
      </w:r>
      <w:r>
        <w:rPr>
          <w:rFonts w:ascii="Calibri" w:hAnsi="Calibri"/>
          <w:b w:val="0"/>
          <w:i w:val="0"/>
          <w:sz w:val="20"/>
        </w:rPr>
        <w:t>Acquiring Eucalyptus ($1.15B, AU/UK/DE/JP/CA) and ZAVA (UK/DE/FR/IE). Three separate payment stacks merging across 8+ countries. No unified payment infrastructure to absorb these acquisitions.</w:t>
      </w:r>
    </w:p>
    <w:p>
      <w:pPr>
        <w:shd w:fill="F2F2F2" w:val="clear"/>
        <w:spacing w:before="0" w:after="120"/>
      </w:pPr>
      <w:r>
        <w:rPr>
          <w:rFonts w:ascii="Calibri" w:hAnsi="Calibri"/>
          <w:b w:val="0"/>
          <w:i/>
          <w:color w:val="999999"/>
          <w:sz w:val="16"/>
        </w:rPr>
        <w:t>[192 chars]</w:t>
      </w:r>
    </w:p>
    <w:p/>
    <w:p>
      <w:pPr>
        <w:spacing w:after="120"/>
      </w:pPr>
      <w:r>
        <w:rPr>
          <w:rFonts w:ascii="Calibri" w:hAnsi="Calibri"/>
          <w:b/>
          <w:i w:val="0"/>
          <w:color w:val="5B4CFF"/>
          <w:sz w:val="26"/>
        </w:rPr>
        <w:t>SLIDE 1: PSP TOPOLOGY</w:t>
      </w:r>
    </w:p>
    <w:tbl>
      <w:tblPr>
        <w:tblStyle w:val="TableGrid"/>
        <w:tblW w:type="auto" w:w="0"/>
        <w:tblLook w:firstColumn="1" w:firstRow="1" w:lastColumn="0" w:lastRow="0" w:noHBand="0" w:noVBand="1" w:val="04A0"/>
      </w:tblPr>
      <w:tblGrid>
        <w:gridCol w:w="4320"/>
        <w:gridCol w:w="4320"/>
      </w:tblGrid>
      <w:tr>
        <w:tc>
          <w:tcPr>
            <w:tcW w:type="dxa" w:w="4320"/>
            <w:shd w:fill="E8E5FF" w:val="clear"/>
          </w:tcPr>
          <w:p>
            <w:r>
              <w:rPr>
                <w:rFonts w:ascii="Calibri" w:hAnsi="Calibri"/>
                <w:b/>
                <w:i w:val="0"/>
                <w:color w:val="5B4CFF"/>
                <w:sz w:val="20"/>
              </w:rPr>
              <w:t>Field</w:t>
            </w:r>
          </w:p>
        </w:tc>
        <w:tc>
          <w:tcPr>
            <w:tcW w:type="dxa" w:w="4320"/>
            <w:shd w:fill="E8E5FF" w:val="clear"/>
          </w:tcPr>
          <w:p>
            <w:r>
              <w:rPr>
                <w:rFonts w:ascii="Calibri" w:hAnsi="Calibri"/>
                <w:b/>
                <w:i w:val="0"/>
                <w:color w:val="5B4CFF"/>
                <w:sz w:val="20"/>
              </w:rPr>
              <w:t>Value</w:t>
            </w:r>
          </w:p>
        </w:tc>
      </w:tr>
      <w:tr>
        <w:tc>
          <w:tcPr>
            <w:tcW w:type="dxa" w:w="4320"/>
          </w:tcPr>
          <w:p>
            <w:r>
              <w:rPr>
                <w:rFonts w:ascii="Calibri" w:hAnsi="Calibri"/>
                <w:b/>
                <w:i w:val="0"/>
                <w:sz w:val="20"/>
              </w:rPr>
              <w:t>PSP_1</w:t>
            </w:r>
          </w:p>
        </w:tc>
        <w:tc>
          <w:tcPr>
            <w:tcW w:type="dxa" w:w="4320"/>
          </w:tcPr>
          <w:p>
            <w:r>
              <w:rPr>
                <w:rFonts w:ascii="Calibri" w:hAnsi="Calibri"/>
                <w:b w:val="0"/>
                <w:i w:val="0"/>
                <w:sz w:val="20"/>
              </w:rPr>
              <w:t>Stripe</w:t>
            </w:r>
          </w:p>
        </w:tc>
      </w:tr>
      <w:tr>
        <w:tc>
          <w:tcPr>
            <w:tcW w:type="dxa" w:w="4320"/>
            <w:shd w:fill="F2F2F2" w:val="clear"/>
          </w:tcPr>
          <w:p>
            <w:r>
              <w:rPr>
                <w:rFonts w:ascii="Calibri" w:hAnsi="Calibri"/>
                <w:b/>
                <w:i w:val="0"/>
                <w:sz w:val="20"/>
              </w:rPr>
              <w:t>PSP_2</w:t>
            </w:r>
          </w:p>
        </w:tc>
        <w:tc>
          <w:tcPr>
            <w:tcW w:type="dxa" w:w="4320"/>
            <w:shd w:fill="F2F2F2" w:val="clear"/>
          </w:tcPr>
          <w:p>
            <w:r>
              <w:rPr>
                <w:rFonts w:ascii="Calibri" w:hAnsi="Calibri"/>
                <w:b w:val="0"/>
                <w:i w:val="0"/>
                <w:sz w:val="20"/>
              </w:rPr>
              <w:t>Adyen</w:t>
            </w:r>
          </w:p>
        </w:tc>
      </w:tr>
      <w:tr>
        <w:tc>
          <w:tcPr>
            <w:tcW w:type="dxa" w:w="4320"/>
          </w:tcPr>
          <w:p>
            <w:r>
              <w:rPr>
                <w:rFonts w:ascii="Calibri" w:hAnsi="Calibri"/>
                <w:b/>
                <w:i w:val="0"/>
                <w:sz w:val="20"/>
              </w:rPr>
              <w:t>PSP_3</w:t>
            </w:r>
          </w:p>
        </w:tc>
        <w:tc>
          <w:tcPr>
            <w:tcW w:type="dxa" w:w="4320"/>
          </w:tcPr>
          <w:p>
            <w:r>
              <w:rPr>
                <w:rFonts w:ascii="Calibri" w:hAnsi="Calibri"/>
                <w:b w:val="0"/>
                <w:i w:val="0"/>
                <w:sz w:val="20"/>
              </w:rPr>
              <w:t>N/A</w:t>
            </w:r>
          </w:p>
        </w:tc>
      </w:tr>
      <w:tr>
        <w:tc>
          <w:tcPr>
            <w:tcW w:type="dxa" w:w="4320"/>
            <w:shd w:fill="F2F2F2" w:val="clear"/>
          </w:tcPr>
          <w:p>
            <w:r>
              <w:rPr>
                <w:rFonts w:ascii="Calibri" w:hAnsi="Calibri"/>
                <w:b/>
                <w:i w:val="0"/>
                <w:sz w:val="20"/>
              </w:rPr>
              <w:t>PSP_4</w:t>
            </w:r>
          </w:p>
        </w:tc>
        <w:tc>
          <w:tcPr>
            <w:tcW w:type="dxa" w:w="4320"/>
            <w:shd w:fill="F2F2F2" w:val="clear"/>
          </w:tcPr>
          <w:p>
            <w:r>
              <w:rPr>
                <w:rFonts w:ascii="Calibri" w:hAnsi="Calibri"/>
                <w:b w:val="0"/>
                <w:i w:val="0"/>
                <w:sz w:val="20"/>
              </w:rPr>
              <w:t>N/A</w:t>
            </w:r>
          </w:p>
        </w:tc>
      </w:tr>
    </w:tbl>
    <w:p/>
    <w:p>
      <w:pPr>
        <w:spacing w:after="120"/>
      </w:pPr>
      <w:r>
        <w:rPr>
          <w:rFonts w:ascii="Calibri" w:hAnsi="Calibri"/>
          <w:b/>
          <w:i w:val="0"/>
          <w:color w:val="5B4CFF"/>
          <w:sz w:val="26"/>
        </w:rPr>
        <w:t>SLIDE 1: MISSING LOCAL METHODS (BLIND SPOTS)</w:t>
      </w:r>
    </w:p>
    <w:tbl>
      <w:tblPr>
        <w:tblStyle w:val="TableGrid"/>
        <w:tblW w:type="auto" w:w="0"/>
        <w:tblLook w:firstColumn="1" w:firstRow="1" w:lastColumn="0" w:lastRow="0" w:noHBand="0" w:noVBand="1" w:val="04A0"/>
      </w:tblPr>
      <w:tblGrid>
        <w:gridCol w:w="4320"/>
        <w:gridCol w:w="4320"/>
      </w:tblGrid>
      <w:tr>
        <w:tc>
          <w:tcPr>
            <w:tcW w:type="dxa" w:w="4320"/>
            <w:shd w:fill="E8E5FF" w:val="clear"/>
          </w:tcPr>
          <w:p>
            <w:r>
              <w:rPr>
                <w:rFonts w:ascii="Calibri" w:hAnsi="Calibri"/>
                <w:b/>
                <w:i w:val="0"/>
                <w:color w:val="5B4CFF"/>
                <w:sz w:val="20"/>
              </w:rPr>
              <w:t>Field</w:t>
            </w:r>
          </w:p>
        </w:tc>
        <w:tc>
          <w:tcPr>
            <w:tcW w:type="dxa" w:w="4320"/>
            <w:shd w:fill="E8E5FF" w:val="clear"/>
          </w:tcPr>
          <w:p>
            <w:r>
              <w:rPr>
                <w:rFonts w:ascii="Calibri" w:hAnsi="Calibri"/>
                <w:b/>
                <w:i w:val="0"/>
                <w:color w:val="5B4CFF"/>
                <w:sz w:val="20"/>
              </w:rPr>
              <w:t>Value</w:t>
            </w:r>
          </w:p>
        </w:tc>
      </w:tr>
      <w:tr>
        <w:tc>
          <w:tcPr>
            <w:tcW w:type="dxa" w:w="4320"/>
          </w:tcPr>
          <w:p>
            <w:r>
              <w:rPr>
                <w:rFonts w:ascii="Calibri" w:hAnsi="Calibri"/>
                <w:b/>
                <w:i w:val="0"/>
                <w:sz w:val="20"/>
              </w:rPr>
              <w:t>Local_M_1</w:t>
            </w:r>
          </w:p>
        </w:tc>
        <w:tc>
          <w:tcPr>
            <w:tcW w:type="dxa" w:w="4320"/>
          </w:tcPr>
          <w:p>
            <w:r>
              <w:rPr>
                <w:rFonts w:ascii="Calibri" w:hAnsi="Calibri"/>
                <w:b w:val="0"/>
                <w:i w:val="0"/>
                <w:sz w:val="20"/>
              </w:rPr>
              <w:t>SEPA Direct Debit</w:t>
            </w:r>
          </w:p>
        </w:tc>
      </w:tr>
      <w:tr>
        <w:tc>
          <w:tcPr>
            <w:tcW w:type="dxa" w:w="4320"/>
            <w:shd w:fill="F2F2F2" w:val="clear"/>
          </w:tcPr>
          <w:p>
            <w:r>
              <w:rPr>
                <w:rFonts w:ascii="Calibri" w:hAnsi="Calibri"/>
                <w:b/>
                <w:i w:val="0"/>
                <w:sz w:val="20"/>
              </w:rPr>
              <w:t>Local_M_2</w:t>
            </w:r>
          </w:p>
        </w:tc>
        <w:tc>
          <w:tcPr>
            <w:tcW w:type="dxa" w:w="4320"/>
            <w:shd w:fill="F2F2F2" w:val="clear"/>
          </w:tcPr>
          <w:p>
            <w:r>
              <w:rPr>
                <w:rFonts w:ascii="Calibri" w:hAnsi="Calibri"/>
                <w:b w:val="0"/>
                <w:i w:val="0"/>
                <w:sz w:val="20"/>
              </w:rPr>
              <w:t>giropay</w:t>
            </w:r>
          </w:p>
        </w:tc>
      </w:tr>
      <w:tr>
        <w:tc>
          <w:tcPr>
            <w:tcW w:type="dxa" w:w="4320"/>
          </w:tcPr>
          <w:p>
            <w:r>
              <w:rPr>
                <w:rFonts w:ascii="Calibri" w:hAnsi="Calibri"/>
                <w:b/>
                <w:i w:val="0"/>
                <w:sz w:val="20"/>
              </w:rPr>
              <w:t>Local_M_3</w:t>
            </w:r>
          </w:p>
        </w:tc>
        <w:tc>
          <w:tcPr>
            <w:tcW w:type="dxa" w:w="4320"/>
          </w:tcPr>
          <w:p>
            <w:r>
              <w:rPr>
                <w:rFonts w:ascii="Calibri" w:hAnsi="Calibri"/>
                <w:b w:val="0"/>
                <w:i w:val="0"/>
                <w:sz w:val="20"/>
              </w:rPr>
              <w:t>Open Banking (UK)</w:t>
            </w:r>
          </w:p>
        </w:tc>
      </w:tr>
      <w:tr>
        <w:tc>
          <w:tcPr>
            <w:tcW w:type="dxa" w:w="4320"/>
            <w:shd w:fill="F2F2F2" w:val="clear"/>
          </w:tcPr>
          <w:p>
            <w:r>
              <w:rPr>
                <w:rFonts w:ascii="Calibri" w:hAnsi="Calibri"/>
                <w:b/>
                <w:i w:val="0"/>
                <w:sz w:val="20"/>
              </w:rPr>
              <w:t>Local_M_4</w:t>
            </w:r>
          </w:p>
        </w:tc>
        <w:tc>
          <w:tcPr>
            <w:tcW w:type="dxa" w:w="4320"/>
            <w:shd w:fill="F2F2F2" w:val="clear"/>
          </w:tcPr>
          <w:p>
            <w:r>
              <w:rPr>
                <w:rFonts w:ascii="Calibri" w:hAnsi="Calibri"/>
                <w:b w:val="0"/>
                <w:i w:val="0"/>
                <w:sz w:val="20"/>
              </w:rPr>
              <w:t>Carte Bancaire</w:t>
            </w:r>
          </w:p>
        </w:tc>
      </w:tr>
      <w:tr>
        <w:tc>
          <w:tcPr>
            <w:tcW w:type="dxa" w:w="4320"/>
          </w:tcPr>
          <w:p>
            <w:r>
              <w:rPr>
                <w:rFonts w:ascii="Calibri" w:hAnsi="Calibri"/>
                <w:b/>
                <w:i w:val="0"/>
                <w:sz w:val="20"/>
              </w:rPr>
              <w:t>Local_M_5</w:t>
            </w:r>
          </w:p>
        </w:tc>
        <w:tc>
          <w:tcPr>
            <w:tcW w:type="dxa" w:w="4320"/>
          </w:tcPr>
          <w:p>
            <w:r>
              <w:rPr>
                <w:rFonts w:ascii="Calibri" w:hAnsi="Calibri"/>
                <w:b w:val="0"/>
                <w:i w:val="0"/>
                <w:sz w:val="20"/>
              </w:rPr>
              <w:t>iDEAL</w:t>
            </w:r>
          </w:p>
        </w:tc>
      </w:tr>
      <w:tr>
        <w:tc>
          <w:tcPr>
            <w:tcW w:type="dxa" w:w="4320"/>
            <w:shd w:fill="F2F2F2" w:val="clear"/>
          </w:tcPr>
          <w:p>
            <w:r>
              <w:rPr>
                <w:rFonts w:ascii="Calibri" w:hAnsi="Calibri"/>
                <w:b/>
                <w:i w:val="0"/>
                <w:sz w:val="20"/>
              </w:rPr>
              <w:t>Local_M_6</w:t>
            </w:r>
          </w:p>
        </w:tc>
        <w:tc>
          <w:tcPr>
            <w:tcW w:type="dxa" w:w="4320"/>
            <w:shd w:fill="F2F2F2" w:val="clear"/>
          </w:tcPr>
          <w:p>
            <w:r>
              <w:rPr>
                <w:rFonts w:ascii="Calibri" w:hAnsi="Calibri"/>
                <w:b w:val="0"/>
                <w:i w:val="0"/>
                <w:sz w:val="20"/>
              </w:rPr>
              <w:t>PayPal</w:t>
            </w:r>
          </w:p>
        </w:tc>
      </w:tr>
      <w:tr>
        <w:tc>
          <w:tcPr>
            <w:tcW w:type="dxa" w:w="4320"/>
          </w:tcPr>
          <w:p>
            <w:r>
              <w:rPr>
                <w:rFonts w:ascii="Calibri" w:hAnsi="Calibri"/>
                <w:b/>
                <w:i w:val="0"/>
                <w:sz w:val="20"/>
              </w:rPr>
              <w:t>Local_M_7</w:t>
            </w:r>
          </w:p>
        </w:tc>
        <w:tc>
          <w:tcPr>
            <w:tcW w:type="dxa" w:w="4320"/>
          </w:tcPr>
          <w:p>
            <w:r>
              <w:rPr>
                <w:rFonts w:ascii="Calibri" w:hAnsi="Calibri"/>
                <w:b w:val="0"/>
                <w:i w:val="0"/>
                <w:sz w:val="20"/>
              </w:rPr>
              <w:t>Klarna</w:t>
            </w:r>
          </w:p>
        </w:tc>
      </w:tr>
      <w:tr>
        <w:tc>
          <w:tcPr>
            <w:tcW w:type="dxa" w:w="4320"/>
            <w:shd w:fill="F2F2F2" w:val="clear"/>
          </w:tcPr>
          <w:p>
            <w:r>
              <w:rPr>
                <w:rFonts w:ascii="Calibri" w:hAnsi="Calibri"/>
                <w:b/>
                <w:i w:val="0"/>
                <w:sz w:val="20"/>
              </w:rPr>
              <w:t>Local_M_8</w:t>
            </w:r>
          </w:p>
        </w:tc>
        <w:tc>
          <w:tcPr>
            <w:tcW w:type="dxa" w:w="4320"/>
            <w:shd w:fill="F2F2F2" w:val="clear"/>
          </w:tcPr>
          <w:p>
            <w:r>
              <w:rPr>
                <w:rFonts w:ascii="Calibri" w:hAnsi="Calibri"/>
                <w:b w:val="0"/>
                <w:i w:val="0"/>
                <w:sz w:val="20"/>
              </w:rPr>
              <w:t>Bancontact</w:t>
            </w:r>
          </w:p>
        </w:tc>
      </w:tr>
      <w:tr>
        <w:tc>
          <w:tcPr>
            <w:tcW w:type="dxa" w:w="4320"/>
          </w:tcPr>
          <w:p>
            <w:r>
              <w:rPr>
                <w:rFonts w:ascii="Calibri" w:hAnsi="Calibri"/>
                <w:b/>
                <w:i w:val="0"/>
                <w:sz w:val="20"/>
              </w:rPr>
              <w:t>Local_M_9</w:t>
            </w:r>
          </w:p>
        </w:tc>
        <w:tc>
          <w:tcPr>
            <w:tcW w:type="dxa" w:w="4320"/>
          </w:tcPr>
          <w:p>
            <w:r>
              <w:rPr>
                <w:rFonts w:ascii="Calibri" w:hAnsi="Calibri"/>
                <w:b w:val="0"/>
                <w:i w:val="0"/>
                <w:sz w:val="20"/>
              </w:rPr>
              <w:t>Konbini (Japan)</w:t>
            </w:r>
          </w:p>
        </w:tc>
      </w:tr>
      <w:tr>
        <w:tc>
          <w:tcPr>
            <w:tcW w:type="dxa" w:w="4320"/>
            <w:shd w:fill="F2F2F2" w:val="clear"/>
          </w:tcPr>
          <w:p>
            <w:r>
              <w:rPr>
                <w:rFonts w:ascii="Calibri" w:hAnsi="Calibri"/>
                <w:b/>
                <w:i w:val="0"/>
                <w:sz w:val="20"/>
              </w:rPr>
              <w:t>Local_M_10</w:t>
            </w:r>
          </w:p>
        </w:tc>
        <w:tc>
          <w:tcPr>
            <w:tcW w:type="dxa" w:w="4320"/>
            <w:shd w:fill="F2F2F2" w:val="clear"/>
          </w:tcPr>
          <w:p>
            <w:r>
              <w:rPr>
                <w:rFonts w:ascii="Calibri" w:hAnsi="Calibri"/>
                <w:b w:val="0"/>
                <w:i w:val="0"/>
                <w:sz w:val="20"/>
              </w:rPr>
              <w:t>PayPay (Japan)</w:t>
            </w:r>
          </w:p>
        </w:tc>
      </w:tr>
    </w:tbl>
    <w:p/>
    <w:p>
      <w:pPr>
        <w:spacing w:after="120"/>
      </w:pPr>
      <w:r>
        <w:rPr>
          <w:rFonts w:ascii="Calibri" w:hAnsi="Calibri"/>
          <w:b/>
          <w:i w:val="0"/>
          <w:color w:val="5B4CFF"/>
          <w:sz w:val="26"/>
        </w:rPr>
        <w:t>SLIDE 2: YUNO CAPABILITIES</w:t>
      </w:r>
    </w:p>
    <w:p>
      <w:pPr>
        <w:shd w:fill="F2F2F2" w:val="clear"/>
      </w:pPr>
      <w:r>
        <w:rPr>
          <w:rFonts w:ascii="Calibri" w:hAnsi="Calibri"/>
          <w:b/>
          <w:i w:val="0"/>
          <w:color w:val="5B4CFF"/>
          <w:sz w:val="20"/>
        </w:rPr>
        <w:t xml:space="preserve">Tittle_Yuno_Cap1: </w:t>
      </w:r>
      <w:r>
        <w:rPr>
          <w:rFonts w:ascii="Calibri" w:hAnsi="Calibri"/>
          <w:b w:val="0"/>
          <w:i w:val="0"/>
          <w:sz w:val="20"/>
        </w:rPr>
        <w:t>Stripe + Adyen Orchestration</w:t>
      </w:r>
      <w:r>
        <w:rPr>
          <w:rFonts w:ascii="Calibri" w:hAnsi="Calibri"/>
          <w:b w:val="0"/>
          <w:i/>
          <w:color w:val="999999"/>
          <w:sz w:val="16"/>
        </w:rPr>
        <w:t xml:space="preserve">  [28 chars]</w:t>
      </w:r>
    </w:p>
    <w:p>
      <w:pPr>
        <w:shd w:fill="F2F2F2" w:val="clear"/>
      </w:pPr>
      <w:r>
        <w:rPr>
          <w:rFonts w:ascii="Calibri" w:hAnsi="Calibri"/>
          <w:b/>
          <w:i w:val="0"/>
          <w:color w:val="5B4CFF"/>
          <w:sz w:val="20"/>
        </w:rPr>
        <w:t xml:space="preserve">Tittle_Yuno_Cap2: </w:t>
      </w:r>
      <w:r>
        <w:rPr>
          <w:rFonts w:ascii="Calibri" w:hAnsi="Calibri"/>
          <w:b w:val="0"/>
          <w:i w:val="0"/>
          <w:sz w:val="20"/>
        </w:rPr>
        <w:t>NOVA AI Subscription Recovery</w:t>
      </w:r>
      <w:r>
        <w:rPr>
          <w:rFonts w:ascii="Calibri" w:hAnsi="Calibri"/>
          <w:b w:val="0"/>
          <w:i/>
          <w:color w:val="999999"/>
          <w:sz w:val="16"/>
        </w:rPr>
        <w:t xml:space="preserve">  [29 chars]</w:t>
      </w:r>
    </w:p>
    <w:p>
      <w:pPr>
        <w:shd w:fill="F2F2F2" w:val="clear"/>
      </w:pPr>
      <w:r>
        <w:rPr>
          <w:rFonts w:ascii="Calibri" w:hAnsi="Calibri"/>
          <w:b/>
          <w:i w:val="0"/>
          <w:color w:val="5B4CFF"/>
          <w:sz w:val="20"/>
        </w:rPr>
        <w:t xml:space="preserve">Tittle_Yuno_Cap3: </w:t>
      </w:r>
      <w:r>
        <w:rPr>
          <w:rFonts w:ascii="Calibri" w:hAnsi="Calibri"/>
          <w:b w:val="0"/>
          <w:i w:val="0"/>
          <w:sz w:val="20"/>
        </w:rPr>
        <w:t>Global APM Activation</w:t>
      </w:r>
      <w:r>
        <w:rPr>
          <w:rFonts w:ascii="Calibri" w:hAnsi="Calibri"/>
          <w:b w:val="0"/>
          <w:i/>
          <w:color w:val="999999"/>
          <w:sz w:val="16"/>
        </w:rPr>
        <w:t xml:space="preserve">  [21 chars]</w:t>
      </w:r>
    </w:p>
    <w:p>
      <w:pPr>
        <w:shd w:fill="F2F2F2" w:val="clear"/>
      </w:pPr>
      <w:r>
        <w:rPr>
          <w:rFonts w:ascii="Calibri" w:hAnsi="Calibri"/>
          <w:b/>
          <w:i w:val="0"/>
          <w:color w:val="5B4CFF"/>
          <w:sz w:val="20"/>
        </w:rPr>
        <w:t xml:space="preserve">Tittle_Yuno_Cap4: </w:t>
      </w:r>
      <w:r>
        <w:rPr>
          <w:rFonts w:ascii="Calibri" w:hAnsi="Calibri"/>
          <w:b w:val="0"/>
          <w:i w:val="0"/>
          <w:sz w:val="20"/>
        </w:rPr>
        <w:t>Acquisition Payment Merger</w:t>
      </w:r>
      <w:r>
        <w:rPr>
          <w:rFonts w:ascii="Calibri" w:hAnsi="Calibri"/>
          <w:b w:val="0"/>
          <w:i/>
          <w:color w:val="999999"/>
          <w:sz w:val="16"/>
        </w:rPr>
        <w:t xml:space="preserve">  [26 chars]</w:t>
      </w:r>
    </w:p>
    <w:p/>
    <w:p>
      <w:pPr>
        <w:shd w:fill="F2F2F2" w:val="clear"/>
      </w:pPr>
      <w:r>
        <w:rPr>
          <w:rFonts w:ascii="Calibri" w:hAnsi="Calibri"/>
          <w:b/>
          <w:i w:val="0"/>
          <w:color w:val="5B4CFF"/>
          <w:sz w:val="20"/>
        </w:rPr>
        <w:t xml:space="preserve">Desc_Yuno_Cap1: </w:t>
      </w:r>
      <w:r>
        <w:rPr>
          <w:rFonts w:ascii="Calibri" w:hAnsi="Calibri"/>
          <w:b w:val="0"/>
          <w:i w:val="0"/>
          <w:sz w:val="20"/>
        </w:rPr>
        <w:t>Route each subscription renewal across Stripe or Adyen based on card BIN, issuer, country, and real time PSP performance. Automatic failover between both PSPs. McDonald's achieved +4.7% approval across 18 markets with Yuno Smart Routing.</w:t>
      </w:r>
    </w:p>
    <w:p>
      <w:pPr>
        <w:shd w:fill="F2F2F2" w:val="clear"/>
        <w:spacing w:before="0" w:after="120"/>
      </w:pPr>
      <w:r>
        <w:rPr>
          <w:rFonts w:ascii="Calibri" w:hAnsi="Calibri"/>
          <w:b w:val="0"/>
          <w:i/>
          <w:color w:val="999999"/>
          <w:sz w:val="16"/>
        </w:rPr>
        <w:t>[237 chars]</w:t>
      </w:r>
    </w:p>
    <w:p>
      <w:pPr>
        <w:shd w:fill="F2F2F2" w:val="clear"/>
      </w:pPr>
      <w:r>
        <w:rPr>
          <w:rFonts w:ascii="Calibri" w:hAnsi="Calibri"/>
          <w:b/>
          <w:i w:val="0"/>
          <w:color w:val="5B4CFF"/>
          <w:sz w:val="20"/>
        </w:rPr>
        <w:t xml:space="preserve">Desc_Yuno_Cap2: </w:t>
      </w:r>
      <w:r>
        <w:rPr>
          <w:rFonts w:ascii="Calibri" w:hAnsi="Calibri"/>
          <w:b w:val="0"/>
          <w:i w:val="0"/>
          <w:sz w:val="20"/>
        </w:rPr>
        <w:t>NOVA AI agents recover failed subscription payments via email and WhatsApp with up to 75% recovery rate. For 2.5M+ subscribers, NOVA prevents involuntary churn without the dark patterns that triggered the FTC investigation.</w:t>
      </w:r>
    </w:p>
    <w:p>
      <w:pPr>
        <w:shd w:fill="F2F2F2" w:val="clear"/>
        <w:spacing w:before="0" w:after="120"/>
      </w:pPr>
      <w:r>
        <w:rPr>
          <w:rFonts w:ascii="Calibri" w:hAnsi="Calibri"/>
          <w:b w:val="0"/>
          <w:i/>
          <w:color w:val="999999"/>
          <w:sz w:val="16"/>
        </w:rPr>
        <w:t>[223 chars]</w:t>
      </w:r>
    </w:p>
    <w:p>
      <w:pPr>
        <w:shd w:fill="F2F2F2" w:val="clear"/>
      </w:pPr>
      <w:r>
        <w:rPr>
          <w:rFonts w:ascii="Calibri" w:hAnsi="Calibri"/>
          <w:b/>
          <w:i w:val="0"/>
          <w:color w:val="5B4CFF"/>
          <w:sz w:val="20"/>
        </w:rPr>
        <w:t xml:space="preserve">Desc_Yuno_Cap3: </w:t>
      </w:r>
      <w:r>
        <w:rPr>
          <w:rFonts w:ascii="Calibri" w:hAnsi="Calibri"/>
          <w:b w:val="0"/>
          <w:i w:val="0"/>
          <w:sz w:val="20"/>
        </w:rPr>
        <w:t>Activate SEPA, giropay, Open Banking, Carte Bancaire, iDEAL, PayPal, Konbini, PayPay via one API across all 8+ markets. 1,000+ payment methods, 68+ countries direct. InDrive scaled 10 markets in under 8 months with 90% approval.</w:t>
      </w:r>
    </w:p>
    <w:p>
      <w:pPr>
        <w:shd w:fill="F2F2F2" w:val="clear"/>
        <w:spacing w:before="0" w:after="120"/>
      </w:pPr>
      <w:r>
        <w:rPr>
          <w:rFonts w:ascii="Calibri" w:hAnsi="Calibri"/>
          <w:b w:val="0"/>
          <w:i/>
          <w:color w:val="999999"/>
          <w:sz w:val="16"/>
        </w:rPr>
        <w:t>[228 chars]</w:t>
      </w:r>
    </w:p>
    <w:p>
      <w:pPr>
        <w:shd w:fill="F2F2F2" w:val="clear"/>
      </w:pPr>
      <w:r>
        <w:rPr>
          <w:rFonts w:ascii="Calibri" w:hAnsi="Calibri"/>
          <w:b/>
          <w:i w:val="0"/>
          <w:color w:val="5B4CFF"/>
          <w:sz w:val="20"/>
        </w:rPr>
        <w:t xml:space="preserve">Desc_Yuno_Cap4: </w:t>
      </w:r>
      <w:r>
        <w:rPr>
          <w:rFonts w:ascii="Calibri" w:hAnsi="Calibri"/>
          <w:b w:val="0"/>
          <w:i w:val="0"/>
          <w:sz w:val="20"/>
        </w:rPr>
        <w:t>One orchestration layer unifying hims, ZAVA (UK/DE/FR/IE), and Eucalyptus (AU/JP/UK/DE/CA) payment stacks. Single dashboard. Rappi (20+ PSPs) cut analyst time by 80% with Yuno. Reconciliation reduction up to 90%.</w:t>
      </w:r>
    </w:p>
    <w:p>
      <w:pPr>
        <w:shd w:fill="F2F2F2" w:val="clear"/>
        <w:spacing w:before="0" w:after="120"/>
      </w:pPr>
      <w:r>
        <w:rPr>
          <w:rFonts w:ascii="Calibri" w:hAnsi="Calibri"/>
          <w:b w:val="0"/>
          <w:i/>
          <w:color w:val="999999"/>
          <w:sz w:val="16"/>
        </w:rPr>
        <w:t>[212 chars]</w:t>
      </w:r>
    </w:p>
    <w:p>
      <w:r>
        <w:br w:type="page"/>
      </w:r>
    </w:p>
    <w:p>
      <w:pPr>
        <w:spacing w:after="160"/>
      </w:pPr>
      <w:r>
        <w:rPr>
          <w:rFonts w:ascii="Calibri" w:hAnsi="Calibri"/>
          <w:b/>
          <w:i w:val="0"/>
          <w:color w:val="5B4CFF"/>
          <w:sz w:val="28"/>
        </w:rPr>
        <w:t>RESEARCH BACKING | Key Facts for the Meeting</w:t>
      </w:r>
    </w:p>
    <w:p>
      <w:pPr>
        <w:spacing w:before="40" w:after="40"/>
      </w:pPr>
      <w:r>
        <w:rPr>
          <w:rFonts w:ascii="Calibri" w:hAnsi="Calibri"/>
          <w:b w:val="0"/>
          <w:i w:val="0"/>
          <w:color w:val="CCCCCC"/>
          <w:sz w:val="20"/>
        </w:rPr>
        <w:t>──────────────────────────────────────────────────────────</w:t>
      </w:r>
    </w:p>
    <w:p/>
    <w:p>
      <w:pPr>
        <w:spacing w:before="120" w:after="40"/>
      </w:pPr>
      <w:r>
        <w:rPr>
          <w:rFonts w:ascii="Calibri" w:hAnsi="Calibri"/>
          <w:b/>
          <w:i w:val="0"/>
          <w:sz w:val="22"/>
        </w:rPr>
        <w:t>hims &amp; hers at a glance:</w:t>
      </w:r>
    </w:p>
    <w:p>
      <w:pPr>
        <w:pStyle w:val="ListBullet"/>
      </w:pPr>
      <w:r>
        <w:rPr>
          <w:rFonts w:ascii="Calibri" w:hAnsi="Calibri"/>
          <w:b w:val="0"/>
          <w:i w:val="0"/>
          <w:sz w:val="20"/>
        </w:rPr>
        <w:t>NYSE: HIMS | HQ: San Francisco, CA | CEO: Andrew Dudum (co founder)</w:t>
      </w:r>
    </w:p>
    <w:p>
      <w:pPr>
        <w:pStyle w:val="ListBullet"/>
      </w:pPr>
      <w:r>
        <w:rPr>
          <w:rFonts w:ascii="Calibri" w:hAnsi="Calibri"/>
          <w:b w:val="0"/>
          <w:i w:val="0"/>
          <w:sz w:val="20"/>
        </w:rPr>
        <w:t>FY2025 Revenue: $2.35B (up 59% YoY from $1.48B in 2024)</w:t>
      </w:r>
    </w:p>
    <w:p>
      <w:pPr>
        <w:pStyle w:val="ListBullet"/>
      </w:pPr>
      <w:r>
        <w:rPr>
          <w:rFonts w:ascii="Calibri" w:hAnsi="Calibri"/>
          <w:b w:val="0"/>
          <w:i w:val="0"/>
          <w:sz w:val="20"/>
        </w:rPr>
        <w:t>Q4 2025 Revenue: $617.8M (up 28% YoY)</w:t>
      </w:r>
    </w:p>
    <w:p>
      <w:pPr>
        <w:pStyle w:val="ListBullet"/>
      </w:pPr>
      <w:r>
        <w:rPr>
          <w:rFonts w:ascii="Calibri" w:hAnsi="Calibri"/>
          <w:b w:val="0"/>
          <w:i w:val="0"/>
          <w:sz w:val="20"/>
        </w:rPr>
        <w:t>FY2025 Net Income: $128M (swing to profitability)</w:t>
      </w:r>
    </w:p>
    <w:p>
      <w:pPr>
        <w:pStyle w:val="ListBullet"/>
      </w:pPr>
      <w:r>
        <w:rPr>
          <w:rFonts w:ascii="Calibri" w:hAnsi="Calibri"/>
          <w:b w:val="0"/>
          <w:i w:val="0"/>
          <w:sz w:val="20"/>
        </w:rPr>
        <w:t>2.5M+ subscribers at end of FY2025 (up from 2.2M at end of 2024)</w:t>
      </w:r>
    </w:p>
    <w:p>
      <w:pPr>
        <w:pStyle w:val="ListBullet"/>
      </w:pPr>
      <w:r>
        <w:rPr>
          <w:rFonts w:ascii="Calibri" w:hAnsi="Calibri"/>
          <w:b w:val="0"/>
          <w:i w:val="0"/>
          <w:sz w:val="20"/>
        </w:rPr>
        <w:t>FY2026 Guidance: $2.7B to $2.9B revenue, $300M to $375M adjusted EBITDA</w:t>
      </w:r>
    </w:p>
    <w:p>
      <w:pPr>
        <w:pStyle w:val="ListBullet"/>
      </w:pPr>
      <w:r>
        <w:rPr>
          <w:rFonts w:ascii="Calibri" w:hAnsi="Calibri"/>
          <w:b w:val="0"/>
          <w:i w:val="0"/>
          <w:sz w:val="20"/>
        </w:rPr>
        <w:t>2030 Goals: $6.5B+ revenue, $1.3B adjusted EBITDA</w:t>
      </w:r>
    </w:p>
    <w:p>
      <w:pPr>
        <w:pStyle w:val="ListBullet"/>
      </w:pPr>
      <w:r>
        <w:rPr>
          <w:rFonts w:ascii="Calibri" w:hAnsi="Calibri"/>
          <w:b w:val="0"/>
          <w:i w:val="0"/>
          <w:sz w:val="20"/>
        </w:rPr>
        <w:t>Operations: US (primary), UK (launched 2019), expanding to Germany, France, Ireland, Australia, Japan, Canada</w:t>
      </w:r>
    </w:p>
    <w:p>
      <w:pPr>
        <w:pStyle w:val="ListBullet"/>
      </w:pPr>
      <w:r>
        <w:rPr>
          <w:rFonts w:ascii="Calibri" w:hAnsi="Calibri"/>
          <w:b w:val="0"/>
          <w:i w:val="0"/>
          <w:sz w:val="20"/>
        </w:rPr>
        <w:t>Services: telehealth for dermatology, weight loss (GLP 1), sexual health, mental health, hair care</w:t>
      </w:r>
    </w:p>
    <w:p>
      <w:pPr>
        <w:pStyle w:val="ListBullet"/>
      </w:pPr>
      <w:r>
        <w:rPr>
          <w:rFonts w:ascii="Calibri" w:hAnsi="Calibri"/>
          <w:b w:val="0"/>
          <w:i w:val="0"/>
          <w:sz w:val="20"/>
        </w:rPr>
        <w:t>D2C subscription model: consultations, prescriptions, and products bundled into monthly/quarterly subscriptions</w:t>
      </w:r>
    </w:p>
    <w:p>
      <w:pPr>
        <w:spacing w:before="120" w:after="40"/>
      </w:pPr>
      <w:r>
        <w:rPr>
          <w:rFonts w:ascii="Calibri" w:hAnsi="Calibri"/>
          <w:b/>
          <w:i w:val="0"/>
          <w:sz w:val="22"/>
        </w:rPr>
        <w:t>Key leadership (payments relevant):</w:t>
      </w:r>
    </w:p>
    <w:p>
      <w:pPr>
        <w:pStyle w:val="ListBullet"/>
      </w:pPr>
      <w:r>
        <w:rPr>
          <w:rFonts w:ascii="Calibri" w:hAnsi="Calibri"/>
          <w:b w:val="0"/>
          <w:i w:val="0"/>
          <w:sz w:val="20"/>
        </w:rPr>
        <w:t>Andrew Dudum, CEO and co founder</w:t>
      </w:r>
    </w:p>
    <w:p>
      <w:pPr>
        <w:pStyle w:val="ListBullet"/>
      </w:pPr>
      <w:r>
        <w:rPr>
          <w:rFonts w:ascii="Calibri" w:hAnsi="Calibri"/>
          <w:b w:val="0"/>
          <w:i w:val="0"/>
          <w:sz w:val="20"/>
        </w:rPr>
        <w:t>Mo Elshenawy, CTO (joined May 2025): former President and CTO at Cruise (GM's self driving unit). 20+ years leading AI, product, and engineering teams.</w:t>
      </w:r>
    </w:p>
    <w:p>
      <w:pPr>
        <w:pStyle w:val="ListBullet"/>
      </w:pPr>
      <w:r>
        <w:rPr>
          <w:rFonts w:ascii="Calibri" w:hAnsi="Calibri"/>
          <w:b w:val="0"/>
          <w:i w:val="0"/>
          <w:sz w:val="20"/>
        </w:rPr>
        <w:t>Yemi Okupe, CFO</w:t>
      </w:r>
    </w:p>
    <w:p>
      <w:pPr>
        <w:pStyle w:val="ListBullet"/>
      </w:pPr>
      <w:r>
        <w:rPr>
          <w:rFonts w:ascii="Calibri" w:hAnsi="Calibri"/>
          <w:b w:val="0"/>
          <w:i w:val="0"/>
          <w:sz w:val="20"/>
        </w:rPr>
        <w:t>Dheerja Kaur, Chief Product Officer (joined July 2025)</w:t>
      </w:r>
    </w:p>
    <w:p>
      <w:pPr>
        <w:pStyle w:val="ListBullet"/>
      </w:pPr>
      <w:r>
        <w:rPr>
          <w:rFonts w:ascii="Calibri" w:hAnsi="Calibri"/>
          <w:b w:val="0"/>
          <w:i w:val="0"/>
          <w:sz w:val="20"/>
        </w:rPr>
        <w:t>Dan Kenger, Chief Design Officer</w:t>
      </w:r>
    </w:p>
    <w:p>
      <w:pPr>
        <w:pStyle w:val="ListBullet"/>
      </w:pPr>
      <w:r>
        <w:rPr>
          <w:rFonts w:ascii="Calibri" w:hAnsi="Calibri"/>
          <w:b w:val="0"/>
          <w:i w:val="0"/>
          <w:sz w:val="20"/>
        </w:rPr>
        <w:t>Deb Autor, Chief Policy Officer (joined November 2025)</w:t>
      </w:r>
    </w:p>
    <w:p>
      <w:pPr>
        <w:pStyle w:val="ListBullet"/>
      </w:pPr>
      <w:r>
        <w:rPr>
          <w:rFonts w:ascii="Calibri" w:hAnsi="Calibri"/>
          <w:b w:val="0"/>
          <w:i w:val="0"/>
          <w:sz w:val="20"/>
        </w:rPr>
        <w:t>No dedicated VP/Head of Payments identified</w:t>
      </w:r>
    </w:p>
    <w:p>
      <w:pPr>
        <w:spacing w:before="120" w:after="40"/>
      </w:pPr>
      <w:r>
        <w:rPr>
          <w:rFonts w:ascii="Calibri" w:hAnsi="Calibri"/>
          <w:b/>
          <w:i w:val="0"/>
          <w:sz w:val="22"/>
        </w:rPr>
        <w:t>Confirmed PSPs and payment infrastructure:</w:t>
      </w:r>
    </w:p>
    <w:p>
      <w:pPr>
        <w:pStyle w:val="ListBullet"/>
      </w:pPr>
      <w:r>
        <w:rPr>
          <w:rFonts w:ascii="Calibri" w:hAnsi="Calibri"/>
          <w:b w:val="0"/>
          <w:i w:val="0"/>
          <w:sz w:val="20"/>
        </w:rPr>
        <w:t>Stripe: confirmed as primary payment processor (per official support page and Corepay analysis). Notable because telehealth is typically high risk for payment processing.</w:t>
      </w:r>
    </w:p>
    <w:p>
      <w:pPr>
        <w:pStyle w:val="ListBullet"/>
      </w:pPr>
      <w:r>
        <w:rPr>
          <w:rFonts w:ascii="Calibri" w:hAnsi="Calibri"/>
          <w:b w:val="0"/>
          <w:i w:val="0"/>
          <w:sz w:val="20"/>
        </w:rPr>
        <w:t>Adyen: confirmed as secondary payment processor (per official support page).</w:t>
      </w:r>
    </w:p>
    <w:p>
      <w:pPr>
        <w:pStyle w:val="ListBullet"/>
      </w:pPr>
      <w:r>
        <w:rPr>
          <w:rFonts w:ascii="Calibri" w:hAnsi="Calibri"/>
          <w:b w:val="0"/>
          <w:i w:val="0"/>
          <w:sz w:val="20"/>
        </w:rPr>
        <w:t>Credit/debit cards: Visa, Mastercard, Amex, Discover confirmed</w:t>
      </w:r>
    </w:p>
    <w:p>
      <w:pPr>
        <w:pStyle w:val="ListBullet"/>
      </w:pPr>
      <w:r>
        <w:rPr>
          <w:rFonts w:ascii="Calibri" w:hAnsi="Calibri"/>
          <w:b w:val="0"/>
          <w:i w:val="0"/>
          <w:sz w:val="20"/>
        </w:rPr>
        <w:t>Apple Pay: confirmed (US and UK)</w:t>
      </w:r>
    </w:p>
    <w:p>
      <w:pPr>
        <w:pStyle w:val="ListBullet"/>
      </w:pPr>
      <w:r>
        <w:rPr>
          <w:rFonts w:ascii="Calibri" w:hAnsi="Calibri"/>
          <w:b w:val="0"/>
          <w:i w:val="0"/>
          <w:sz w:val="20"/>
        </w:rPr>
        <w:t>PayPal: NOT accepted (explicitly stated in support docs)</w:t>
      </w:r>
    </w:p>
    <w:p>
      <w:pPr>
        <w:pStyle w:val="ListBullet"/>
      </w:pPr>
      <w:r>
        <w:rPr>
          <w:rFonts w:ascii="Calibri" w:hAnsi="Calibri"/>
          <w:b w:val="0"/>
          <w:i w:val="0"/>
          <w:sz w:val="20"/>
        </w:rPr>
        <w:t>Klarna: listed as BNPL partner on Klarna's site, but not confirmed on hims support page</w:t>
      </w:r>
    </w:p>
    <w:p>
      <w:pPr>
        <w:pStyle w:val="ListBullet"/>
      </w:pPr>
      <w:r>
        <w:rPr>
          <w:rFonts w:ascii="Calibri" w:hAnsi="Calibri"/>
          <w:b w:val="0"/>
          <w:i w:val="0"/>
          <w:sz w:val="20"/>
        </w:rPr>
        <w:t>No payment orchestrator detected (no Spreedly, Primer, Gr4vy, CellPoint, APEXX, or Yuno)</w:t>
      </w:r>
    </w:p>
    <w:p>
      <w:pPr>
        <w:spacing w:before="120" w:after="40"/>
      </w:pPr>
      <w:r>
        <w:rPr>
          <w:rFonts w:ascii="Calibri" w:hAnsi="Calibri"/>
          <w:b/>
          <w:i w:val="0"/>
          <w:sz w:val="22"/>
        </w:rPr>
        <w:t>Payment methods by market:</w:t>
      </w:r>
    </w:p>
    <w:p>
      <w:r>
        <w:rPr>
          <w:rFonts w:ascii="Calibri" w:hAnsi="Calibri"/>
          <w:b w:val="0"/>
          <w:i w:val="0"/>
          <w:sz w:val="20"/>
        </w:rPr>
        <w:t>US: Credit/debit cards (Visa, MC, Amex, Discover), Apple Pay</w:t>
      </w:r>
    </w:p>
    <w:p>
      <w:r>
        <w:rPr>
          <w:rFonts w:ascii="Calibri" w:hAnsi="Calibri"/>
          <w:b w:val="0"/>
          <w:i w:val="0"/>
          <w:sz w:val="20"/>
        </w:rPr>
        <w:t>UK: Credit/debit cards, Apple Pay</w:t>
      </w:r>
    </w:p>
    <w:p>
      <w:r>
        <w:rPr>
          <w:rFonts w:ascii="Calibri" w:hAnsi="Calibri"/>
          <w:b w:val="0"/>
          <w:i w:val="0"/>
          <w:sz w:val="20"/>
        </w:rPr>
        <w:t>Germany/France/Ireland: Credit/debit cards (via ZAVA, exact methods TBC)</w:t>
      </w:r>
    </w:p>
    <w:p>
      <w:r>
        <w:rPr>
          <w:rFonts w:ascii="Calibri" w:hAnsi="Calibri"/>
          <w:b w:val="0"/>
          <w:i w:val="0"/>
          <w:sz w:val="20"/>
        </w:rPr>
        <w:t>Australia/Japan/Canada (pending Eucalyptus close): TBC</w:t>
      </w:r>
    </w:p>
    <w:p>
      <w:pPr>
        <w:spacing w:before="120" w:after="40"/>
      </w:pPr>
      <w:r>
        <w:rPr>
          <w:rFonts w:ascii="Calibri" w:hAnsi="Calibri"/>
          <w:b/>
          <w:i w:val="0"/>
          <w:sz w:val="22"/>
        </w:rPr>
        <w:t>Missing local APMs (blind spots across 8+ markets):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8E5FF" w:val="clear"/>
          </w:tcPr>
          <w:p>
            <w:r>
              <w:rPr>
                <w:rFonts w:ascii="Calibri" w:hAnsi="Calibri"/>
                <w:b/>
                <w:i w:val="0"/>
                <w:color w:val="5B4CFF"/>
                <w:sz w:val="18"/>
              </w:rPr>
              <w:t>#</w:t>
            </w:r>
          </w:p>
        </w:tc>
        <w:tc>
          <w:tcPr>
            <w:tcW w:type="dxa" w:w="2160"/>
            <w:shd w:fill="E8E5FF" w:val="clear"/>
          </w:tcPr>
          <w:p>
            <w:r>
              <w:rPr>
                <w:rFonts w:ascii="Calibri" w:hAnsi="Calibri"/>
                <w:b/>
                <w:i w:val="0"/>
                <w:color w:val="5B4CFF"/>
                <w:sz w:val="18"/>
              </w:rPr>
              <w:t>APM</w:t>
            </w:r>
          </w:p>
        </w:tc>
        <w:tc>
          <w:tcPr>
            <w:tcW w:type="dxa" w:w="2160"/>
            <w:shd w:fill="E8E5FF" w:val="clear"/>
          </w:tcPr>
          <w:p>
            <w:r>
              <w:rPr>
                <w:rFonts w:ascii="Calibri" w:hAnsi="Calibri"/>
                <w:b/>
                <w:i w:val="0"/>
                <w:color w:val="5B4CFF"/>
                <w:sz w:val="18"/>
              </w:rPr>
              <w:t>Market</w:t>
            </w:r>
          </w:p>
        </w:tc>
        <w:tc>
          <w:tcPr>
            <w:tcW w:type="dxa" w:w="2160"/>
            <w:shd w:fill="E8E5FF" w:val="clear"/>
          </w:tcPr>
          <w:p>
            <w:r>
              <w:rPr>
                <w:rFonts w:ascii="Calibri" w:hAnsi="Calibri"/>
                <w:b/>
                <w:i w:val="0"/>
                <w:color w:val="5B4CFF"/>
                <w:sz w:val="18"/>
              </w:rPr>
              <w:t>Why It Matters</w:t>
            </w:r>
          </w:p>
        </w:tc>
      </w:tr>
      <w:tr>
        <w:tc>
          <w:tcPr>
            <w:tcW w:type="dxa" w:w="2160"/>
          </w:tcPr>
          <w:p>
            <w:r>
              <w:rPr>
                <w:rFonts w:ascii="Calibri" w:hAnsi="Calibri"/>
                <w:b w:val="0"/>
                <w:i w:val="0"/>
                <w:sz w:val="18"/>
              </w:rPr>
              <w:t>1</w:t>
            </w:r>
          </w:p>
        </w:tc>
        <w:tc>
          <w:tcPr>
            <w:tcW w:type="dxa" w:w="2160"/>
          </w:tcPr>
          <w:p>
            <w:r>
              <w:rPr>
                <w:rFonts w:ascii="Calibri" w:hAnsi="Calibri"/>
                <w:b w:val="0"/>
                <w:i w:val="0"/>
                <w:sz w:val="18"/>
              </w:rPr>
              <w:t>SEPA Direct Debit</w:t>
            </w:r>
          </w:p>
        </w:tc>
        <w:tc>
          <w:tcPr>
            <w:tcW w:type="dxa" w:w="2160"/>
          </w:tcPr>
          <w:p>
            <w:r>
              <w:rPr>
                <w:rFonts w:ascii="Calibri" w:hAnsi="Calibri"/>
                <w:b w:val="0"/>
                <w:i w:val="0"/>
                <w:sz w:val="18"/>
              </w:rPr>
              <w:t>Eurozone (DE, FR, IE)</w:t>
            </w:r>
          </w:p>
        </w:tc>
        <w:tc>
          <w:tcPr>
            <w:tcW w:type="dxa" w:w="2160"/>
          </w:tcPr>
          <w:p>
            <w:r>
              <w:rPr>
                <w:rFonts w:ascii="Calibri" w:hAnsi="Calibri"/>
                <w:b w:val="0"/>
                <w:i w:val="0"/>
                <w:sz w:val="18"/>
              </w:rPr>
              <w:t>Standard for recurring Euro payments. Critical for subscription billing across EU markets.</w:t>
            </w:r>
          </w:p>
        </w:tc>
      </w:tr>
      <w:tr>
        <w:tc>
          <w:tcPr>
            <w:tcW w:type="dxa" w:w="2160"/>
            <w:shd w:fill="F2F2F2" w:val="clear"/>
          </w:tcPr>
          <w:p>
            <w:r>
              <w:rPr>
                <w:rFonts w:ascii="Calibri" w:hAnsi="Calibri"/>
                <w:b w:val="0"/>
                <w:i w:val="0"/>
                <w:sz w:val="18"/>
              </w:rPr>
              <w:t>2</w:t>
            </w:r>
          </w:p>
        </w:tc>
        <w:tc>
          <w:tcPr>
            <w:tcW w:type="dxa" w:w="2160"/>
            <w:shd w:fill="F2F2F2" w:val="clear"/>
          </w:tcPr>
          <w:p>
            <w:r>
              <w:rPr>
                <w:rFonts w:ascii="Calibri" w:hAnsi="Calibri"/>
                <w:b w:val="0"/>
                <w:i w:val="0"/>
                <w:sz w:val="18"/>
              </w:rPr>
              <w:t>giropay</w:t>
            </w:r>
          </w:p>
        </w:tc>
        <w:tc>
          <w:tcPr>
            <w:tcW w:type="dxa" w:w="2160"/>
            <w:shd w:fill="F2F2F2" w:val="clear"/>
          </w:tcPr>
          <w:p>
            <w:r>
              <w:rPr>
                <w:rFonts w:ascii="Calibri" w:hAnsi="Calibri"/>
                <w:b w:val="0"/>
                <w:i w:val="0"/>
                <w:sz w:val="18"/>
              </w:rPr>
              <w:t>Germany</w:t>
            </w:r>
          </w:p>
        </w:tc>
        <w:tc>
          <w:tcPr>
            <w:tcW w:type="dxa" w:w="2160"/>
            <w:shd w:fill="F2F2F2" w:val="clear"/>
          </w:tcPr>
          <w:p>
            <w:r>
              <w:rPr>
                <w:rFonts w:ascii="Calibri" w:hAnsi="Calibri"/>
                <w:b w:val="0"/>
                <w:i w:val="0"/>
                <w:sz w:val="18"/>
              </w:rPr>
              <w:t>Popular German online bank transfer. ZAVA operates in Germany.</w:t>
            </w:r>
          </w:p>
        </w:tc>
      </w:tr>
      <w:tr>
        <w:tc>
          <w:tcPr>
            <w:tcW w:type="dxa" w:w="2160"/>
          </w:tcPr>
          <w:p>
            <w:r>
              <w:rPr>
                <w:rFonts w:ascii="Calibri" w:hAnsi="Calibri"/>
                <w:b w:val="0"/>
                <w:i w:val="0"/>
                <w:sz w:val="18"/>
              </w:rPr>
              <w:t>3</w:t>
            </w:r>
          </w:p>
        </w:tc>
        <w:tc>
          <w:tcPr>
            <w:tcW w:type="dxa" w:w="2160"/>
          </w:tcPr>
          <w:p>
            <w:r>
              <w:rPr>
                <w:rFonts w:ascii="Calibri" w:hAnsi="Calibri"/>
                <w:b w:val="0"/>
                <w:i w:val="0"/>
                <w:sz w:val="18"/>
              </w:rPr>
              <w:t>Open Banking (UK)</w:t>
            </w:r>
          </w:p>
        </w:tc>
        <w:tc>
          <w:tcPr>
            <w:tcW w:type="dxa" w:w="2160"/>
          </w:tcPr>
          <w:p>
            <w:r>
              <w:rPr>
                <w:rFonts w:ascii="Calibri" w:hAnsi="Calibri"/>
                <w:b w:val="0"/>
                <w:i w:val="0"/>
                <w:sz w:val="18"/>
              </w:rPr>
              <w:t>UK</w:t>
            </w:r>
          </w:p>
        </w:tc>
        <w:tc>
          <w:tcPr>
            <w:tcW w:type="dxa" w:w="2160"/>
          </w:tcPr>
          <w:p>
            <w:r>
              <w:rPr>
                <w:rFonts w:ascii="Calibri" w:hAnsi="Calibri"/>
                <w:b w:val="0"/>
                <w:i w:val="0"/>
                <w:sz w:val="18"/>
              </w:rPr>
              <w:t>Account to account payments. Lower fees than card for recurring subscriptions.</w:t>
            </w:r>
          </w:p>
        </w:tc>
      </w:tr>
      <w:tr>
        <w:tc>
          <w:tcPr>
            <w:tcW w:type="dxa" w:w="2160"/>
            <w:shd w:fill="F2F2F2" w:val="clear"/>
          </w:tcPr>
          <w:p>
            <w:r>
              <w:rPr>
                <w:rFonts w:ascii="Calibri" w:hAnsi="Calibri"/>
                <w:b w:val="0"/>
                <w:i w:val="0"/>
                <w:sz w:val="18"/>
              </w:rPr>
              <w:t>4</w:t>
            </w:r>
          </w:p>
        </w:tc>
        <w:tc>
          <w:tcPr>
            <w:tcW w:type="dxa" w:w="2160"/>
            <w:shd w:fill="F2F2F2" w:val="clear"/>
          </w:tcPr>
          <w:p>
            <w:r>
              <w:rPr>
                <w:rFonts w:ascii="Calibri" w:hAnsi="Calibri"/>
                <w:b w:val="0"/>
                <w:i w:val="0"/>
                <w:sz w:val="18"/>
              </w:rPr>
              <w:t>Carte Bancaire</w:t>
            </w:r>
          </w:p>
        </w:tc>
        <w:tc>
          <w:tcPr>
            <w:tcW w:type="dxa" w:w="2160"/>
            <w:shd w:fill="F2F2F2" w:val="clear"/>
          </w:tcPr>
          <w:p>
            <w:r>
              <w:rPr>
                <w:rFonts w:ascii="Calibri" w:hAnsi="Calibri"/>
                <w:b w:val="0"/>
                <w:i w:val="0"/>
                <w:sz w:val="18"/>
              </w:rPr>
              <w:t>France</w:t>
            </w:r>
          </w:p>
        </w:tc>
        <w:tc>
          <w:tcPr>
            <w:tcW w:type="dxa" w:w="2160"/>
            <w:shd w:fill="F2F2F2" w:val="clear"/>
          </w:tcPr>
          <w:p>
            <w:r>
              <w:rPr>
                <w:rFonts w:ascii="Calibri" w:hAnsi="Calibri"/>
                <w:b w:val="0"/>
                <w:i w:val="0"/>
                <w:sz w:val="18"/>
              </w:rPr>
              <w:t>Dominant French card network. Local routing improves auth rates. ZAVA operates in France.</w:t>
            </w:r>
          </w:p>
        </w:tc>
      </w:tr>
      <w:tr>
        <w:tc>
          <w:tcPr>
            <w:tcW w:type="dxa" w:w="2160"/>
          </w:tcPr>
          <w:p>
            <w:r>
              <w:rPr>
                <w:rFonts w:ascii="Calibri" w:hAnsi="Calibri"/>
                <w:b w:val="0"/>
                <w:i w:val="0"/>
                <w:sz w:val="18"/>
              </w:rPr>
              <w:t>5</w:t>
            </w:r>
          </w:p>
        </w:tc>
        <w:tc>
          <w:tcPr>
            <w:tcW w:type="dxa" w:w="2160"/>
          </w:tcPr>
          <w:p>
            <w:r>
              <w:rPr>
                <w:rFonts w:ascii="Calibri" w:hAnsi="Calibri"/>
                <w:b w:val="0"/>
                <w:i w:val="0"/>
                <w:sz w:val="18"/>
              </w:rPr>
              <w:t>iDEAL</w:t>
            </w:r>
          </w:p>
        </w:tc>
        <w:tc>
          <w:tcPr>
            <w:tcW w:type="dxa" w:w="2160"/>
          </w:tcPr>
          <w:p>
            <w:r>
              <w:rPr>
                <w:rFonts w:ascii="Calibri" w:hAnsi="Calibri"/>
                <w:b w:val="0"/>
                <w:i w:val="0"/>
                <w:sz w:val="18"/>
              </w:rPr>
              <w:t>Netherlands (future)</w:t>
            </w:r>
          </w:p>
        </w:tc>
        <w:tc>
          <w:tcPr>
            <w:tcW w:type="dxa" w:w="2160"/>
          </w:tcPr>
          <w:p>
            <w:r>
              <w:rPr>
                <w:rFonts w:ascii="Calibri" w:hAnsi="Calibri"/>
                <w:b w:val="0"/>
                <w:i w:val="0"/>
                <w:sz w:val="18"/>
              </w:rPr>
              <w:t>50%+ of Dutch online transactions. Important if expanding into NL.</w:t>
            </w:r>
          </w:p>
        </w:tc>
      </w:tr>
      <w:tr>
        <w:tc>
          <w:tcPr>
            <w:tcW w:type="dxa" w:w="2160"/>
            <w:shd w:fill="F2F2F2" w:val="clear"/>
          </w:tcPr>
          <w:p>
            <w:r>
              <w:rPr>
                <w:rFonts w:ascii="Calibri" w:hAnsi="Calibri"/>
                <w:b w:val="0"/>
                <w:i w:val="0"/>
                <w:sz w:val="18"/>
              </w:rPr>
              <w:t>6</w:t>
            </w:r>
          </w:p>
        </w:tc>
        <w:tc>
          <w:tcPr>
            <w:tcW w:type="dxa" w:w="2160"/>
            <w:shd w:fill="F2F2F2" w:val="clear"/>
          </w:tcPr>
          <w:p>
            <w:r>
              <w:rPr>
                <w:rFonts w:ascii="Calibri" w:hAnsi="Calibri"/>
                <w:b w:val="0"/>
                <w:i w:val="0"/>
                <w:sz w:val="18"/>
              </w:rPr>
              <w:t>PayPal</w:t>
            </w:r>
          </w:p>
        </w:tc>
        <w:tc>
          <w:tcPr>
            <w:tcW w:type="dxa" w:w="2160"/>
            <w:shd w:fill="F2F2F2" w:val="clear"/>
          </w:tcPr>
          <w:p>
            <w:r>
              <w:rPr>
                <w:rFonts w:ascii="Calibri" w:hAnsi="Calibri"/>
                <w:b w:val="0"/>
                <w:i w:val="0"/>
                <w:sz w:val="18"/>
              </w:rPr>
              <w:t>All markets</w:t>
            </w:r>
          </w:p>
        </w:tc>
        <w:tc>
          <w:tcPr>
            <w:tcW w:type="dxa" w:w="2160"/>
            <w:shd w:fill="F2F2F2" w:val="clear"/>
          </w:tcPr>
          <w:p>
            <w:r>
              <w:rPr>
                <w:rFonts w:ascii="Calibri" w:hAnsi="Calibri"/>
                <w:b w:val="0"/>
                <w:i w:val="0"/>
                <w:sz w:val="18"/>
              </w:rPr>
              <w:t>400M+ accounts globally. Explicitly not accepted despite being the most requested APM.</w:t>
            </w:r>
          </w:p>
        </w:tc>
      </w:tr>
      <w:tr>
        <w:tc>
          <w:tcPr>
            <w:tcW w:type="dxa" w:w="2160"/>
          </w:tcPr>
          <w:p>
            <w:r>
              <w:rPr>
                <w:rFonts w:ascii="Calibri" w:hAnsi="Calibri"/>
                <w:b w:val="0"/>
                <w:i w:val="0"/>
                <w:sz w:val="18"/>
              </w:rPr>
              <w:t>7</w:t>
            </w:r>
          </w:p>
        </w:tc>
        <w:tc>
          <w:tcPr>
            <w:tcW w:type="dxa" w:w="2160"/>
          </w:tcPr>
          <w:p>
            <w:r>
              <w:rPr>
                <w:rFonts w:ascii="Calibri" w:hAnsi="Calibri"/>
                <w:b w:val="0"/>
                <w:i w:val="0"/>
                <w:sz w:val="18"/>
              </w:rPr>
              <w:t>Klarna</w:t>
            </w:r>
          </w:p>
        </w:tc>
        <w:tc>
          <w:tcPr>
            <w:tcW w:type="dxa" w:w="2160"/>
          </w:tcPr>
          <w:p>
            <w:r>
              <w:rPr>
                <w:rFonts w:ascii="Calibri" w:hAnsi="Calibri"/>
                <w:b w:val="0"/>
                <w:i w:val="0"/>
                <w:sz w:val="18"/>
              </w:rPr>
              <w:t>All markets</w:t>
            </w:r>
          </w:p>
        </w:tc>
        <w:tc>
          <w:tcPr>
            <w:tcW w:type="dxa" w:w="2160"/>
          </w:tcPr>
          <w:p>
            <w:r>
              <w:rPr>
                <w:rFonts w:ascii="Calibri" w:hAnsi="Calibri"/>
                <w:b w:val="0"/>
                <w:i w:val="0"/>
                <w:sz w:val="18"/>
              </w:rPr>
              <w:t>Listed on Klarna's site but not confirmed on hims checkout. Major BNPL for health/wellness.</w:t>
            </w:r>
          </w:p>
        </w:tc>
      </w:tr>
      <w:tr>
        <w:tc>
          <w:tcPr>
            <w:tcW w:type="dxa" w:w="2160"/>
            <w:shd w:fill="F2F2F2" w:val="clear"/>
          </w:tcPr>
          <w:p>
            <w:r>
              <w:rPr>
                <w:rFonts w:ascii="Calibri" w:hAnsi="Calibri"/>
                <w:b w:val="0"/>
                <w:i w:val="0"/>
                <w:sz w:val="18"/>
              </w:rPr>
              <w:t>8</w:t>
            </w:r>
          </w:p>
        </w:tc>
        <w:tc>
          <w:tcPr>
            <w:tcW w:type="dxa" w:w="2160"/>
            <w:shd w:fill="F2F2F2" w:val="clear"/>
          </w:tcPr>
          <w:p>
            <w:r>
              <w:rPr>
                <w:rFonts w:ascii="Calibri" w:hAnsi="Calibri"/>
                <w:b w:val="0"/>
                <w:i w:val="0"/>
                <w:sz w:val="18"/>
              </w:rPr>
              <w:t>Bancontact</w:t>
            </w:r>
          </w:p>
        </w:tc>
        <w:tc>
          <w:tcPr>
            <w:tcW w:type="dxa" w:w="2160"/>
            <w:shd w:fill="F2F2F2" w:val="clear"/>
          </w:tcPr>
          <w:p>
            <w:r>
              <w:rPr>
                <w:rFonts w:ascii="Calibri" w:hAnsi="Calibri"/>
                <w:b w:val="0"/>
                <w:i w:val="0"/>
                <w:sz w:val="18"/>
              </w:rPr>
              <w:t>Belgium (future)</w:t>
            </w:r>
          </w:p>
        </w:tc>
        <w:tc>
          <w:tcPr>
            <w:tcW w:type="dxa" w:w="2160"/>
            <w:shd w:fill="F2F2F2" w:val="clear"/>
          </w:tcPr>
          <w:p>
            <w:r>
              <w:rPr>
                <w:rFonts w:ascii="Calibri" w:hAnsi="Calibri"/>
                <w:b w:val="0"/>
                <w:i w:val="0"/>
                <w:sz w:val="18"/>
              </w:rPr>
              <w:t>17M+ cards. Important for Benelux expansion.</w:t>
            </w:r>
          </w:p>
        </w:tc>
      </w:tr>
      <w:tr>
        <w:tc>
          <w:tcPr>
            <w:tcW w:type="dxa" w:w="2160"/>
          </w:tcPr>
          <w:p>
            <w:r>
              <w:rPr>
                <w:rFonts w:ascii="Calibri" w:hAnsi="Calibri"/>
                <w:b w:val="0"/>
                <w:i w:val="0"/>
                <w:sz w:val="18"/>
              </w:rPr>
              <w:t>9</w:t>
            </w:r>
          </w:p>
        </w:tc>
        <w:tc>
          <w:tcPr>
            <w:tcW w:type="dxa" w:w="2160"/>
          </w:tcPr>
          <w:p>
            <w:r>
              <w:rPr>
                <w:rFonts w:ascii="Calibri" w:hAnsi="Calibri"/>
                <w:b w:val="0"/>
                <w:i w:val="0"/>
                <w:sz w:val="18"/>
              </w:rPr>
              <w:t>Konbini</w:t>
            </w:r>
          </w:p>
        </w:tc>
        <w:tc>
          <w:tcPr>
            <w:tcW w:type="dxa" w:w="2160"/>
          </w:tcPr>
          <w:p>
            <w:r>
              <w:rPr>
                <w:rFonts w:ascii="Calibri" w:hAnsi="Calibri"/>
                <w:b w:val="0"/>
                <w:i w:val="0"/>
                <w:sz w:val="18"/>
              </w:rPr>
              <w:t>Japan</w:t>
            </w:r>
          </w:p>
        </w:tc>
        <w:tc>
          <w:tcPr>
            <w:tcW w:type="dxa" w:w="2160"/>
          </w:tcPr>
          <w:p>
            <w:r>
              <w:rPr>
                <w:rFonts w:ascii="Calibri" w:hAnsi="Calibri"/>
                <w:b w:val="0"/>
                <w:i w:val="0"/>
                <w:sz w:val="18"/>
              </w:rPr>
              <w:t>Convenience store payments. Critical for Eucalyptus Japan launch.</w:t>
            </w:r>
          </w:p>
        </w:tc>
      </w:tr>
      <w:tr>
        <w:tc>
          <w:tcPr>
            <w:tcW w:type="dxa" w:w="2160"/>
            <w:shd w:fill="F2F2F2" w:val="clear"/>
          </w:tcPr>
          <w:p>
            <w:r>
              <w:rPr>
                <w:rFonts w:ascii="Calibri" w:hAnsi="Calibri"/>
                <w:b w:val="0"/>
                <w:i w:val="0"/>
                <w:sz w:val="18"/>
              </w:rPr>
              <w:t>10</w:t>
            </w:r>
          </w:p>
        </w:tc>
        <w:tc>
          <w:tcPr>
            <w:tcW w:type="dxa" w:w="2160"/>
            <w:shd w:fill="F2F2F2" w:val="clear"/>
          </w:tcPr>
          <w:p>
            <w:r>
              <w:rPr>
                <w:rFonts w:ascii="Calibri" w:hAnsi="Calibri"/>
                <w:b w:val="0"/>
                <w:i w:val="0"/>
                <w:sz w:val="18"/>
              </w:rPr>
              <w:t>PayPay</w:t>
            </w:r>
          </w:p>
        </w:tc>
        <w:tc>
          <w:tcPr>
            <w:tcW w:type="dxa" w:w="2160"/>
            <w:shd w:fill="F2F2F2" w:val="clear"/>
          </w:tcPr>
          <w:p>
            <w:r>
              <w:rPr>
                <w:rFonts w:ascii="Calibri" w:hAnsi="Calibri"/>
                <w:b w:val="0"/>
                <w:i w:val="0"/>
                <w:sz w:val="18"/>
              </w:rPr>
              <w:t>Japan</w:t>
            </w:r>
          </w:p>
        </w:tc>
        <w:tc>
          <w:tcPr>
            <w:tcW w:type="dxa" w:w="2160"/>
            <w:shd w:fill="F2F2F2" w:val="clear"/>
          </w:tcPr>
          <w:p>
            <w:r>
              <w:rPr>
                <w:rFonts w:ascii="Calibri" w:hAnsi="Calibri"/>
                <w:b w:val="0"/>
                <w:i w:val="0"/>
                <w:sz w:val="18"/>
              </w:rPr>
              <w:t>60M+ users. Dominant QR payment in Japan.</w:t>
            </w:r>
          </w:p>
        </w:tc>
      </w:tr>
    </w:tbl>
    <w:p/>
    <w:p>
      <w:pPr>
        <w:spacing w:before="120" w:after="40"/>
      </w:pPr>
      <w:r>
        <w:rPr>
          <w:rFonts w:ascii="Calibri" w:hAnsi="Calibri"/>
          <w:b/>
          <w:i w:val="0"/>
          <w:sz w:val="22"/>
        </w:rPr>
        <w:t>Payment complaints and regulatory issues:</w:t>
      </w:r>
    </w:p>
    <w:p>
      <w:pPr>
        <w:pStyle w:val="ListBullet"/>
      </w:pPr>
      <w:r>
        <w:rPr>
          <w:rFonts w:ascii="Calibri" w:hAnsi="Calibri"/>
          <w:b w:val="0"/>
          <w:i w:val="0"/>
          <w:sz w:val="20"/>
        </w:rPr>
        <w:t>FTC investigation (ongoing since 2024): probing subscription cancellation barriers and advertising practices. Over a year of document gathering and interviews.</w:t>
      </w:r>
    </w:p>
    <w:p>
      <w:pPr>
        <w:pStyle w:val="ListBullet"/>
      </w:pPr>
      <w:r>
        <w:rPr>
          <w:rFonts w:ascii="Calibri" w:hAnsi="Calibri"/>
          <w:b w:val="0"/>
          <w:i w:val="0"/>
          <w:sz w:val="20"/>
        </w:rPr>
        <w:t>FDA warning letter (September 2025): product related, but compounds regulatory pressure</w:t>
      </w:r>
    </w:p>
    <w:p>
      <w:pPr>
        <w:pStyle w:val="ListBullet"/>
      </w:pPr>
      <w:r>
        <w:rPr>
          <w:rFonts w:ascii="Calibri" w:hAnsi="Calibri"/>
          <w:b w:val="0"/>
          <w:i w:val="0"/>
          <w:sz w:val="20"/>
        </w:rPr>
        <w:t>Novo Nordisk partnership termination: cited illegal compounding and deceptive marketing</w:t>
      </w:r>
    </w:p>
    <w:p>
      <w:pPr>
        <w:pStyle w:val="ListBullet"/>
      </w:pPr>
      <w:r>
        <w:rPr>
          <w:rFonts w:ascii="Calibri" w:hAnsi="Calibri"/>
          <w:b w:val="0"/>
          <w:i w:val="0"/>
          <w:sz w:val="20"/>
        </w:rPr>
        <w:t>BBB: 900+ complaints in 3 years. Subscription billing errors and cancellation runarounds.</w:t>
      </w:r>
    </w:p>
    <w:p>
      <w:pPr>
        <w:pStyle w:val="ListBullet"/>
      </w:pPr>
      <w:r>
        <w:rPr>
          <w:rFonts w:ascii="Calibri" w:hAnsi="Calibri"/>
          <w:b w:val="0"/>
          <w:i w:val="0"/>
          <w:sz w:val="20"/>
        </w:rPr>
        <w:t>Trustpilot: 2.8 stars from 3,200+ reviews</w:t>
      </w:r>
    </w:p>
    <w:p>
      <w:pPr>
        <w:pStyle w:val="ListBullet"/>
      </w:pPr>
      <w:r>
        <w:rPr>
          <w:rFonts w:ascii="Calibri" w:hAnsi="Calibri"/>
          <w:b w:val="0"/>
          <w:i w:val="0"/>
          <w:sz w:val="20"/>
        </w:rPr>
        <w:t>PissedConsumer: 1.8 stars</w:t>
      </w:r>
    </w:p>
    <w:p>
      <w:pPr>
        <w:pStyle w:val="ListBullet"/>
      </w:pPr>
      <w:r>
        <w:rPr>
          <w:rFonts w:ascii="Calibri" w:hAnsi="Calibri"/>
          <w:b w:val="0"/>
          <w:i w:val="0"/>
          <w:sz w:val="20"/>
        </w:rPr>
        <w:t>Common complaints: unauthorized renewals, no advance notice of charges, zero refund policy even for unopened products, difficult cancellation flows</w:t>
      </w:r>
    </w:p>
    <w:p>
      <w:pPr>
        <w:pStyle w:val="ListBullet"/>
      </w:pPr>
      <w:r>
        <w:rPr>
          <w:rFonts w:ascii="Calibri" w:hAnsi="Calibri"/>
          <w:b w:val="0"/>
          <w:i w:val="0"/>
          <w:sz w:val="20"/>
        </w:rPr>
        <w:t>Refund policy: "all sales and payments are final, irrevocable and not subject to refund"</w:t>
      </w:r>
    </w:p>
    <w:p>
      <w:pPr>
        <w:spacing w:before="120" w:after="40"/>
      </w:pPr>
      <w:r>
        <w:rPr>
          <w:rFonts w:ascii="Calibri" w:hAnsi="Calibri"/>
          <w:b/>
          <w:i w:val="0"/>
          <w:sz w:val="22"/>
        </w:rPr>
        <w:t>Key strategic developments (2025 to 2026):</w:t>
      </w:r>
    </w:p>
    <w:p>
      <w:pPr>
        <w:spacing w:before="40"/>
      </w:pPr>
      <w:r>
        <w:rPr>
          <w:rFonts w:ascii="Calibri" w:hAnsi="Calibri"/>
          <w:b w:val="0"/>
          <w:i w:val="0"/>
          <w:sz w:val="20"/>
        </w:rPr>
        <w:t>ZAVA acquisition (June 2025): European telehealth platform in UK, Germany, France, Ireland. 1.3M active customers. 2.3M consultations in 2024. All cash deal.</w:t>
      </w:r>
    </w:p>
    <w:p>
      <w:pPr>
        <w:spacing w:before="40"/>
      </w:pPr>
      <w:r>
        <w:rPr>
          <w:rFonts w:ascii="Calibri" w:hAnsi="Calibri"/>
          <w:b w:val="0"/>
          <w:i w:val="0"/>
          <w:sz w:val="20"/>
        </w:rPr>
        <w:t>Eucalyptus acquisition (February 2026, $1.15B): Australia, UK, Germany, Japan, Canada. $450M+ ARR. Triple digit YoY growth. Tim Doyle becomes SVP International.</w:t>
      </w:r>
    </w:p>
    <w:p>
      <w:pPr>
        <w:spacing w:before="40"/>
      </w:pPr>
      <w:r>
        <w:rPr>
          <w:rFonts w:ascii="Calibri" w:hAnsi="Calibri"/>
          <w:b w:val="0"/>
          <w:i w:val="0"/>
          <w:sz w:val="20"/>
        </w:rPr>
        <w:t>Mo Elshenawy CTO hire (May 2025): former Cruise President/CTO. Signals massive technology investment.</w:t>
      </w:r>
    </w:p>
    <w:p>
      <w:pPr>
        <w:spacing w:before="40"/>
      </w:pPr>
      <w:r>
        <w:rPr>
          <w:rFonts w:ascii="Calibri" w:hAnsi="Calibri"/>
          <w:b w:val="0"/>
          <w:i w:val="0"/>
          <w:sz w:val="20"/>
        </w:rPr>
        <w:t>FY2025 profitability: $128M net income, first profitable year at scale</w:t>
      </w:r>
    </w:p>
    <w:p>
      <w:pPr>
        <w:spacing w:before="40"/>
      </w:pPr>
      <w:r>
        <w:rPr>
          <w:rFonts w:ascii="Calibri" w:hAnsi="Calibri"/>
          <w:b w:val="0"/>
          <w:i w:val="0"/>
          <w:sz w:val="20"/>
        </w:rPr>
        <w:t>Weight loss / GLP 1 business: major growth driver, also source of regulatory scrutiny</w:t>
      </w:r>
    </w:p>
    <w:p>
      <w:pPr>
        <w:spacing w:before="40"/>
      </w:pPr>
      <w:r>
        <w:rPr>
          <w:rFonts w:ascii="Calibri" w:hAnsi="Calibri"/>
          <w:b w:val="0"/>
          <w:i w:val="0"/>
          <w:sz w:val="20"/>
        </w:rPr>
        <w:t>2030 vision: $6.5B+ revenue. Requires global scaling of subscription billing infrastructure.</w:t>
      </w:r>
    </w:p>
    <w:p>
      <w:pPr>
        <w:spacing w:before="120" w:after="40"/>
      </w:pPr>
      <w:r>
        <w:rPr>
          <w:rFonts w:ascii="Calibri" w:hAnsi="Calibri"/>
          <w:b/>
          <w:i w:val="0"/>
          <w:sz w:val="22"/>
        </w:rPr>
        <w:t>Yuno case references for the meeting:</w:t>
      </w:r>
    </w:p>
    <w:p>
      <w:r>
        <w:rPr>
          <w:rFonts w:ascii="Calibri" w:hAnsi="Calibri"/>
          <w:b w:val="0"/>
          <w:i w:val="0"/>
          <w:sz w:val="20"/>
        </w:rPr>
        <w:t>LIVELO: Subscription platform in Brazil. +5% approval rate, 50% recovery of failed transactions in under 3 months with Yuno. Directly relevant to hims &amp; hers' subscription churn challenge.</w:t>
      </w:r>
    </w:p>
    <w:p>
      <w:r>
        <w:rPr>
          <w:rFonts w:ascii="Calibri" w:hAnsi="Calibri"/>
          <w:b w:val="0"/>
          <w:i w:val="0"/>
          <w:sz w:val="20"/>
        </w:rPr>
        <w:t>INDRIVE: Marketplace scaled 10 LATAM markets in under 8 months. 90% approval rate. 4.5%+ recovery. Shows rapid multi country activation for acquisitions.</w:t>
      </w:r>
    </w:p>
    <w:p>
      <w:r>
        <w:rPr>
          <w:rFonts w:ascii="Calibri" w:hAnsi="Calibri"/>
          <w:b w:val="0"/>
          <w:i w:val="0"/>
          <w:sz w:val="20"/>
        </w:rPr>
        <w:t>RAPPI: 20+ PSPs orchestrated. 80% analyst reduction. Zero implementation time for new providers. Relevant to Stripe + Adyen + ZAVA + Eucalyptus merge.</w:t>
      </w:r>
    </w:p>
    <w:p>
      <w:r>
        <w:rPr>
          <w:rFonts w:ascii="Calibri" w:hAnsi="Calibri"/>
          <w:b w:val="0"/>
          <w:i w:val="0"/>
          <w:sz w:val="20"/>
        </w:rPr>
        <w:t>VIVA AEROBUS: 75% NOVA recovery rate, $300+ per transaction. Shows AI recovery power for high value subscriptions.</w:t>
      </w:r>
    </w:p>
    <w:p>
      <w:pPr>
        <w:spacing w:before="120" w:after="40"/>
      </w:pPr>
      <w:r>
        <w:rPr>
          <w:rFonts w:ascii="Calibri" w:hAnsi="Calibri"/>
          <w:b/>
          <w:i w:val="0"/>
          <w:sz w:val="22"/>
        </w:rPr>
        <w:t>Key meeting angles:</w:t>
      </w:r>
    </w:p>
    <w:p>
      <w:pPr>
        <w:spacing w:before="40"/>
      </w:pPr>
      <w:r>
        <w:rPr>
          <w:rFonts w:ascii="Calibri" w:hAnsi="Calibri"/>
          <w:b w:val="0"/>
          <w:i w:val="0"/>
          <w:sz w:val="20"/>
        </w:rPr>
        <w:t>FTC investigation makes billing transparency urgent: Over a year of FTC probing on cancellation/billing practices. 900+ BBB complaints. Instead of dark patterns that trap subscribers, Yuno's NOVA AI recovers failed payments proactively. Revenue recovery without regulatory risk.</w:t>
      </w:r>
    </w:p>
    <w:p>
      <w:pPr>
        <w:spacing w:before="40"/>
      </w:pPr>
      <w:r>
        <w:rPr>
          <w:rFonts w:ascii="Calibri" w:hAnsi="Calibri"/>
          <w:b w:val="0"/>
          <w:i w:val="0"/>
          <w:sz w:val="20"/>
        </w:rPr>
        <w:t>Stripe + Adyen with no orchestration is wasted potential: hims already has two world class PSPs but no layer routing between them. Yuno orchestrates both: each renewal routed to whichever processor performs best for that card BIN, issuer, and country. +3 to 10% approval uplift.</w:t>
      </w:r>
    </w:p>
    <w:p>
      <w:pPr>
        <w:spacing w:before="40"/>
      </w:pPr>
      <w:r>
        <w:rPr>
          <w:rFonts w:ascii="Calibri" w:hAnsi="Calibri"/>
          <w:b w:val="0"/>
          <w:i w:val="0"/>
          <w:sz w:val="20"/>
        </w:rPr>
        <w:t>Three acquisitions, three payment stacks: hims core (Stripe/Adyen) + ZAVA (UK/DE/FR/IE, unknown PSP) + Eucalyptus (AU/UK/DE/JP/CA, unknown PSP). Yuno sits on top of all three stacks via single API. Same play as DoorDash merging three stacks.</w:t>
      </w:r>
    </w:p>
    <w:p>
      <w:pPr>
        <w:spacing w:before="40"/>
      </w:pPr>
      <w:r>
        <w:rPr>
          <w:rFonts w:ascii="Calibri" w:hAnsi="Calibri"/>
          <w:b w:val="0"/>
          <w:i w:val="0"/>
          <w:sz w:val="20"/>
        </w:rPr>
        <w:t>2.5M+ subscribers = massive recurring billing optimization opportunity: Every 1% improvement in subscription renewal success at $2.35B revenue = $23.5M recovered. Yuno's smart routing + NOVA AI can deliver 3 to 10% uplift.</w:t>
      </w:r>
    </w:p>
    <w:p>
      <w:pPr>
        <w:spacing w:before="40"/>
      </w:pPr>
      <w:r>
        <w:rPr>
          <w:rFonts w:ascii="Calibri" w:hAnsi="Calibri"/>
          <w:b w:val="0"/>
          <w:i w:val="0"/>
          <w:sz w:val="20"/>
        </w:rPr>
        <w:t>International expansion needs local APMs: Germany (giropay, SEPA), France (Carte Bancaire), UK (Open Banking), Japan (Konbini, PayPay) all need local methods for optimal conversion. Cards only means lost subscribers. Yuno activates 1,000+ methods via one API.</w:t>
      </w:r>
    </w:p>
    <w:p>
      <w:pPr>
        <w:spacing w:before="40"/>
      </w:pPr>
      <w:r>
        <w:rPr>
          <w:rFonts w:ascii="Calibri" w:hAnsi="Calibri"/>
          <w:b w:val="0"/>
          <w:i w:val="0"/>
          <w:sz w:val="20"/>
        </w:rPr>
        <w:t>New CTO from Cruise understands platform orchestration: Mo Elshenawy built autonomous vehicle platforms at GM/Cruise. He understands infrastructure layer thinking. Yuno pitch aligns with his technology worldview.</w:t>
      </w:r>
    </w:p>
    <w:p>
      <w:pPr>
        <w:spacing w:before="120" w:after="40"/>
      </w:pPr>
      <w:r>
        <w:rPr>
          <w:rFonts w:ascii="Calibri" w:hAnsi="Calibri"/>
          <w:b/>
          <w:i w:val="0"/>
          <w:sz w:val="22"/>
        </w:rPr>
        <w:t>Sources:</w:t>
      </w:r>
    </w:p>
    <w:p>
      <w:pPr>
        <w:pStyle w:val="ListBullet"/>
      </w:pPr>
      <w:r>
        <w:rPr>
          <w:rFonts w:ascii="Calibri" w:hAnsi="Calibri"/>
          <w:b w:val="0"/>
          <w:i w:val="0"/>
          <w:sz w:val="20"/>
        </w:rPr>
        <w:t>hims Support: Payment Methods Accepted</w:t>
      </w:r>
    </w:p>
    <w:p>
      <w:pPr>
        <w:pStyle w:val="ListBullet"/>
      </w:pPr>
      <w:r>
        <w:rPr>
          <w:rFonts w:ascii="Calibri" w:hAnsi="Calibri"/>
          <w:b w:val="0"/>
          <w:i w:val="0"/>
          <w:sz w:val="20"/>
        </w:rPr>
        <w:t>hims UK: Payment Methods</w:t>
      </w:r>
    </w:p>
    <w:p>
      <w:pPr>
        <w:pStyle w:val="ListBullet"/>
      </w:pPr>
      <w:r>
        <w:rPr>
          <w:rFonts w:ascii="Calibri" w:hAnsi="Calibri"/>
          <w:b w:val="0"/>
          <w:i w:val="0"/>
          <w:sz w:val="20"/>
        </w:rPr>
        <w:t>hims Support: Payment Information</w:t>
      </w:r>
    </w:p>
    <w:p>
      <w:pPr>
        <w:pStyle w:val="ListBullet"/>
      </w:pPr>
      <w:r>
        <w:rPr>
          <w:rFonts w:ascii="Calibri" w:hAnsi="Calibri"/>
          <w:b w:val="0"/>
          <w:i w:val="0"/>
          <w:sz w:val="20"/>
        </w:rPr>
        <w:t>hims Support: Refund Policy</w:t>
      </w:r>
    </w:p>
    <w:p>
      <w:pPr>
        <w:pStyle w:val="ListBullet"/>
      </w:pPr>
      <w:r>
        <w:rPr>
          <w:rFonts w:ascii="Calibri" w:hAnsi="Calibri"/>
          <w:b w:val="0"/>
          <w:i w:val="0"/>
          <w:sz w:val="20"/>
        </w:rPr>
        <w:t>hims Payment Processor Revealed (Corepay)</w:t>
      </w:r>
    </w:p>
    <w:p>
      <w:pPr>
        <w:pStyle w:val="ListBullet"/>
      </w:pPr>
      <w:r>
        <w:rPr>
          <w:rFonts w:ascii="Calibri" w:hAnsi="Calibri"/>
          <w:b w:val="0"/>
          <w:i w:val="0"/>
          <w:sz w:val="20"/>
        </w:rPr>
        <w:t>hims Klarna BNPL</w:t>
      </w:r>
    </w:p>
    <w:p>
      <w:pPr>
        <w:pStyle w:val="ListBullet"/>
      </w:pPr>
      <w:r>
        <w:rPr>
          <w:rFonts w:ascii="Calibri" w:hAnsi="Calibri"/>
          <w:b w:val="0"/>
          <w:i w:val="0"/>
          <w:sz w:val="20"/>
        </w:rPr>
        <w:t>hims &amp; hers FY2024 Financial Results (IR)</w:t>
      </w:r>
    </w:p>
    <w:p>
      <w:pPr>
        <w:pStyle w:val="ListBullet"/>
      </w:pPr>
      <w:r>
        <w:rPr>
          <w:rFonts w:ascii="Calibri" w:hAnsi="Calibri"/>
          <w:b w:val="0"/>
          <w:i w:val="0"/>
          <w:sz w:val="20"/>
        </w:rPr>
        <w:t>hims &amp; hers FY2025 Financial Results (IR)</w:t>
      </w:r>
    </w:p>
    <w:p>
      <w:pPr>
        <w:pStyle w:val="ListBullet"/>
      </w:pPr>
      <w:r>
        <w:rPr>
          <w:rFonts w:ascii="Calibri" w:hAnsi="Calibri"/>
          <w:b w:val="0"/>
          <w:i w:val="0"/>
          <w:sz w:val="20"/>
        </w:rPr>
        <w:t>hims &amp; hers Q3 2025 Results (IR)</w:t>
      </w:r>
    </w:p>
    <w:p>
      <w:pPr>
        <w:pStyle w:val="ListBullet"/>
      </w:pPr>
      <w:r>
        <w:rPr>
          <w:rFonts w:ascii="Calibri" w:hAnsi="Calibri"/>
          <w:b w:val="0"/>
          <w:i w:val="0"/>
          <w:sz w:val="20"/>
        </w:rPr>
        <w:t>hims &amp; hers 2.5M Subscribers (StockTitan)</w:t>
      </w:r>
    </w:p>
    <w:p>
      <w:pPr>
        <w:pStyle w:val="ListBullet"/>
      </w:pPr>
      <w:r>
        <w:rPr>
          <w:rFonts w:ascii="Calibri" w:hAnsi="Calibri"/>
          <w:b w:val="0"/>
          <w:i w:val="0"/>
          <w:sz w:val="20"/>
        </w:rPr>
        <w:t>hims &amp; hers Revenue (MacroTrends)</w:t>
      </w:r>
    </w:p>
    <w:p>
      <w:pPr>
        <w:pStyle w:val="ListBullet"/>
      </w:pPr>
      <w:r>
        <w:rPr>
          <w:rFonts w:ascii="Calibri" w:hAnsi="Calibri"/>
          <w:b w:val="0"/>
          <w:i w:val="0"/>
          <w:sz w:val="20"/>
        </w:rPr>
        <w:t>hims &amp; hers ZAVA Acquisition (IR)</w:t>
      </w:r>
    </w:p>
    <w:p>
      <w:pPr>
        <w:pStyle w:val="ListBullet"/>
      </w:pPr>
      <w:r>
        <w:rPr>
          <w:rFonts w:ascii="Calibri" w:hAnsi="Calibri"/>
          <w:b w:val="0"/>
          <w:i w:val="0"/>
          <w:sz w:val="20"/>
        </w:rPr>
        <w:t>hims &amp; hers ZAVA (CNBC)</w:t>
      </w:r>
    </w:p>
    <w:p>
      <w:pPr>
        <w:pStyle w:val="ListBullet"/>
      </w:pPr>
      <w:r>
        <w:rPr>
          <w:rFonts w:ascii="Calibri" w:hAnsi="Calibri"/>
          <w:b w:val="0"/>
          <w:i w:val="0"/>
          <w:sz w:val="20"/>
        </w:rPr>
        <w:t>hims &amp; hers ZAVA (BusinessWire)</w:t>
      </w:r>
    </w:p>
    <w:p>
      <w:pPr>
        <w:pStyle w:val="ListBullet"/>
      </w:pPr>
      <w:r>
        <w:rPr>
          <w:rFonts w:ascii="Calibri" w:hAnsi="Calibri"/>
          <w:b w:val="0"/>
          <w:i w:val="0"/>
          <w:sz w:val="20"/>
        </w:rPr>
        <w:t>hims &amp; hers Eucalyptus Acquisition (IR)</w:t>
      </w:r>
    </w:p>
    <w:p>
      <w:pPr>
        <w:pStyle w:val="ListBullet"/>
      </w:pPr>
      <w:r>
        <w:rPr>
          <w:rFonts w:ascii="Calibri" w:hAnsi="Calibri"/>
          <w:b w:val="0"/>
          <w:i w:val="0"/>
          <w:sz w:val="20"/>
        </w:rPr>
        <w:t>hims &amp; hers Eucalyptus $1.15B (PharmExec)</w:t>
      </w:r>
    </w:p>
    <w:p>
      <w:pPr>
        <w:pStyle w:val="ListBullet"/>
      </w:pPr>
      <w:r>
        <w:rPr>
          <w:rFonts w:ascii="Calibri" w:hAnsi="Calibri"/>
          <w:b w:val="0"/>
          <w:i w:val="0"/>
          <w:sz w:val="20"/>
        </w:rPr>
        <w:t>hims &amp; hers Eucalyptus (MobiHealthNews)</w:t>
      </w:r>
    </w:p>
    <w:p>
      <w:pPr>
        <w:pStyle w:val="ListBullet"/>
      </w:pPr>
      <w:r>
        <w:rPr>
          <w:rFonts w:ascii="Calibri" w:hAnsi="Calibri"/>
          <w:b w:val="0"/>
          <w:i w:val="0"/>
          <w:sz w:val="20"/>
        </w:rPr>
        <w:t>hims &amp; hers CTO Mo Elshenawy (IR)</w:t>
      </w:r>
    </w:p>
    <w:p>
      <w:pPr>
        <w:pStyle w:val="ListBullet"/>
      </w:pPr>
      <w:r>
        <w:rPr>
          <w:rFonts w:ascii="Calibri" w:hAnsi="Calibri"/>
          <w:b w:val="0"/>
          <w:i w:val="0"/>
          <w:sz w:val="20"/>
        </w:rPr>
        <w:t>hims &amp; hers Executive Management (IR)</w:t>
      </w:r>
    </w:p>
    <w:p>
      <w:pPr>
        <w:pStyle w:val="ListBullet"/>
      </w:pPr>
      <w:r>
        <w:rPr>
          <w:rFonts w:ascii="Calibri" w:hAnsi="Calibri"/>
          <w:b w:val="0"/>
          <w:i w:val="0"/>
          <w:sz w:val="20"/>
        </w:rPr>
        <w:t>FTC Investigation (Bloomberg)</w:t>
      </w:r>
    </w:p>
    <w:p>
      <w:pPr>
        <w:pStyle w:val="ListBullet"/>
      </w:pPr>
      <w:r>
        <w:rPr>
          <w:rFonts w:ascii="Calibri" w:hAnsi="Calibri"/>
          <w:b w:val="0"/>
          <w:i w:val="0"/>
          <w:sz w:val="20"/>
        </w:rPr>
        <w:t>FTC Consumer Complaints (FTC FOIA)</w:t>
      </w:r>
    </w:p>
    <w:p>
      <w:pPr>
        <w:pStyle w:val="ListBullet"/>
      </w:pPr>
      <w:r>
        <w:rPr>
          <w:rFonts w:ascii="Calibri" w:hAnsi="Calibri"/>
          <w:b w:val="0"/>
          <w:i w:val="0"/>
          <w:sz w:val="20"/>
        </w:rPr>
        <w:t>FTC Investigation Impact (Seeking Alpha)</w:t>
      </w:r>
    </w:p>
    <w:p>
      <w:pPr>
        <w:pStyle w:val="ListBullet"/>
      </w:pPr>
      <w:r>
        <w:rPr>
          <w:rFonts w:ascii="Calibri" w:hAnsi="Calibri"/>
          <w:b w:val="0"/>
          <w:i w:val="0"/>
          <w:sz w:val="20"/>
        </w:rPr>
        <w:t>hims &amp; hers Trustpilot</w:t>
      </w:r>
    </w:p>
    <w:p>
      <w:pPr>
        <w:pStyle w:val="ListBullet"/>
      </w:pPr>
      <w:r>
        <w:rPr>
          <w:rFonts w:ascii="Calibri" w:hAnsi="Calibri"/>
          <w:b w:val="0"/>
          <w:i w:val="0"/>
          <w:sz w:val="20"/>
        </w:rPr>
        <w:t>hims &amp; hers BBB Complaints</w:t>
      </w:r>
    </w:p>
    <w:p>
      <w:pPr>
        <w:pStyle w:val="ListBullet"/>
      </w:pPr>
      <w:r>
        <w:rPr>
          <w:rFonts w:ascii="Calibri" w:hAnsi="Calibri"/>
          <w:b w:val="0"/>
          <w:i w:val="0"/>
          <w:sz w:val="20"/>
        </w:rPr>
        <w:t>hims &amp; hers Wikipedia</w:t>
      </w:r>
    </w:p>
    <w:p>
      <w:pPr>
        <w:pStyle w:val="ListBullet"/>
      </w:pPr>
      <w:r>
        <w:rPr>
          <w:rFonts w:ascii="Calibri" w:hAnsi="Calibri"/>
          <w:b w:val="0"/>
          <w:i w:val="0"/>
          <w:sz w:val="20"/>
        </w:rPr>
        <w:t>hims &amp; hers UK Weight Loss (IR)</w:t>
      </w:r>
    </w:p>
    <w:p>
      <w:pPr>
        <w:pStyle w:val="ListBullet"/>
      </w:pPr>
      <w:r>
        <w:rPr>
          <w:rFonts w:ascii="Calibri" w:hAnsi="Calibri"/>
          <w:b w:val="0"/>
          <w:i w:val="0"/>
          <w:sz w:val="20"/>
        </w:rPr>
        <w:t>Yuno Livelo Case Study</w:t>
      </w:r>
    </w:p>
    <w:p>
      <w:pPr>
        <w:pStyle w:val="ListBullet"/>
      </w:pPr>
      <w:r>
        <w:rPr>
          <w:rFonts w:ascii="Calibri" w:hAnsi="Calibri"/>
          <w:b w:val="0"/>
          <w:i w:val="0"/>
          <w:sz w:val="20"/>
        </w:rPr>
        <w:t>Yuno InDrive Case Study</w:t>
      </w:r>
    </w:p>
    <w:p>
      <w:pPr>
        <w:pStyle w:val="ListBullet"/>
      </w:pPr>
      <w:r>
        <w:rPr>
          <w:rFonts w:ascii="Calibri" w:hAnsi="Calibri"/>
          <w:b w:val="0"/>
          <w:i w:val="0"/>
          <w:sz w:val="20"/>
        </w:rPr>
        <w:t>Yuno Rappi Case Study</w:t>
      </w:r>
    </w:p>
    <w:p>
      <w:pPr>
        <w:pStyle w:val="ListBullet"/>
      </w:pPr>
      <w:r>
        <w:rPr>
          <w:rFonts w:ascii="Calibri" w:hAnsi="Calibri"/>
          <w:b w:val="0"/>
          <w:i w:val="0"/>
          <w:sz w:val="20"/>
        </w:rPr>
        <w:t>Yuno Platform Overview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