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5B4CFF"/>
          <w:sz w:val="40"/>
        </w:rPr>
        <w:t>BILL.COM | Stripe Sessions Research</w:t>
      </w:r>
    </w:p>
    <w:p>
      <w:pPr>
        <w:spacing w:after="80"/>
        <w:jc w:val="center"/>
      </w:pPr>
      <w:r>
        <w:rPr>
          <w:rFonts w:ascii="Calibri" w:hAnsi="Calibri"/>
          <w:b w:val="0"/>
          <w:color w:val="000000"/>
          <w:sz w:val="24"/>
        </w:rPr>
        <w:t>SS Database Format</w:t>
      </w:r>
    </w:p>
    <w:p>
      <w:pPr>
        <w:spacing w:after="240"/>
        <w:jc w:val="center"/>
      </w:pPr>
      <w:r>
        <w:rPr>
          <w:rFonts w:ascii="Calibri" w:hAnsi="Calibri"/>
          <w:b w:val="0"/>
          <w:color w:val="666666"/>
          <w:sz w:val="20"/>
        </w:rPr>
        <w:t>Generated: 2026-04-21</w:t>
      </w:r>
    </w:p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COMPANY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Logo URL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https://companieslogo.com/img/orig/BILL-4e498e91.png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Nombre merchant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Bill.com</w:t>
            </w:r>
          </w:p>
        </w:tc>
      </w:tr>
    </w:tbl>
    <w:p/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1: PAIN 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1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Wire-Only Int'l Rails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1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137 countries, 106 currencies, but international vendor payments rely on wire transfers and limited Local Transfers. No Pix, UPI, SPEI, or SEPA DD confirmed for outbound AP.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2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Single-Issuer Card Risk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2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Divvy cards issued exclusively by Cross River Bank, processed by Marqeta, on Visa network. Zero redundancy: any partner disruption halts 498K+ business card programs.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3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Payment Complaint Surge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3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Trustpilot rating 2.8 to 3.1/5 across 540+ reviews. Complaints include held funds, unauthorized charges, and unresponsive support. Service quality dropped post layoffs.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4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Activist Cost Pressure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4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Starboard (8.5%), Elliott (5%+), and Barington Capital all pushing for profitability. Hellman and Friedman buyout talks (Feb 2026) signal payment cost audit is imminent.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5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Fragmented Channel Rails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5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NetSuite, Acumatica, and Paychex partnerships embed BILL AP into new channels. Each channel amplifies the same limited international payment rails without optimization.</w:t>
            </w:r>
          </w:p>
        </w:tc>
      </w:tr>
    </w:tbl>
    <w:p/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1: PSP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1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JPMorgan Chase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2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Cross River Bank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3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Marqeta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4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Wise</w:t>
            </w:r>
          </w:p>
        </w:tc>
      </w:tr>
    </w:tbl>
    <w:p/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1: MISSING LOCAL METHODS (BLIND SPOTS)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1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Pix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2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UPI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3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SPEI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4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SEPA Instant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5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M-Pesa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6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GCash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7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iDEAL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8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BLIK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9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PromptPay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10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PSE</w:t>
            </w:r>
          </w:p>
        </w:tc>
      </w:tr>
    </w:tbl>
    <w:p>
      <w:r>
        <w:br w:type="page"/>
      </w:r>
    </w:p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2: YUNO CAPABILITIES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1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Smart Routing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1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Per-transaction routing by corridor, amount, and vendor location. With $380B+ annual payment volume across 137 countries, routing each disbursement to the lowest cost local rail delivers measurable savings. At BILL's scale, even 1 basis point = $38M/year.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2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Failover &amp; Retries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2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Automatic cascade when ACH debits fail or wires bounce. Instead of triggering $100/day penalties and blocking payroll runs, Yuno retries through the next best rail in milliseconds. Up to 50% recovery on failed transactions prevents business disruption.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3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Local Payment Methods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3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Activates instant local payout rails: Pix in Brazil, UPI in India, SPEI in Mexico, M-Pesa in Kenya, GCash in Philippines, iDEAL in Netherlands, SEPA Instant in Europe. One API, 1,000+ methods. Same-day settlement replacing $14.99 USD wire fees.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4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Unified Orchestration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4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One dashboard unifying JPMorgan ACH, Cross River/Marqeta cards, Wise international, and wire transfers. Real-time monitoring per corridor, centralized reconciliation across NetSuite/Acumatica/Paychex channels. NOVA fraud detection (75% reduction).</w:t>
            </w:r>
          </w:p>
        </w:tc>
      </w:tr>
    </w:tbl>
    <w:p/>
    <w:p>
      <w:r>
        <w:br w:type="page"/>
      </w:r>
    </w:p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RESEARCH BACKING</w:t>
      </w:r>
    </w:p>
    <w:p>
      <w:pPr>
        <w:spacing w:after="120"/>
        <w:jc w:val="left"/>
      </w:pPr>
      <w:r>
        <w:rPr>
          <w:rFonts w:ascii="Calibri" w:hAnsi="Calibri"/>
          <w:b/>
          <w:color w:val="5B4CFF"/>
          <w:sz w:val="26"/>
        </w:rPr>
        <w:t>RESEARCH BACKING | Key Facts for the Meeting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Bill.com at a glance:</w:t>
      </w:r>
    </w:p>
    <w:p>
      <w:pPr>
        <w:pStyle w:val="ListBullet"/>
      </w:pPr>
      <w:r>
        <w:rPr>
          <w:rFonts w:ascii="Calibri" w:hAnsi="Calibri"/>
          <w:sz w:val="20"/>
        </w:rPr>
        <w:t>Founded: 2006, HQ: San Jose, CA. Public company (NYSE: BILL)</w:t>
      </w:r>
    </w:p>
    <w:p>
      <w:pPr>
        <w:pStyle w:val="ListBullet"/>
      </w:pPr>
      <w:r>
        <w:rPr>
          <w:rFonts w:ascii="Calibri" w:hAnsi="Calibri"/>
          <w:sz w:val="20"/>
        </w:rPr>
        <w:t>Revenue: $1.46B (FY2025, +13% YoY). Q2 FY2026: $414.7M (+14% YoY)</w:t>
      </w:r>
    </w:p>
    <w:p>
      <w:pPr>
        <w:pStyle w:val="ListBullet"/>
      </w:pPr>
      <w:r>
        <w:rPr>
          <w:rFonts w:ascii="Calibri" w:hAnsi="Calibri"/>
          <w:sz w:val="20"/>
        </w:rPr>
        <w:t>Core revenue: $375M in Q2 2026 (+17% YoY)</w:t>
      </w:r>
    </w:p>
    <w:p>
      <w:pPr>
        <w:pStyle w:val="ListBullet"/>
      </w:pPr>
      <w:r>
        <w:rPr>
          <w:rFonts w:ascii="Calibri" w:hAnsi="Calibri"/>
          <w:sz w:val="20"/>
        </w:rPr>
        <w:t>Payment volume: $95B per quarter (~$380B annualized)</w:t>
      </w:r>
    </w:p>
    <w:p>
      <w:pPr>
        <w:pStyle w:val="ListBullet"/>
      </w:pPr>
      <w:r>
        <w:rPr>
          <w:rFonts w:ascii="Calibri" w:hAnsi="Calibri"/>
          <w:sz w:val="20"/>
        </w:rPr>
        <w:t>Businesses served: 498,500 (Q2 FY2026, +4% YoY)</w:t>
      </w:r>
    </w:p>
    <w:p>
      <w:pPr>
        <w:pStyle w:val="ListBullet"/>
      </w:pPr>
      <w:r>
        <w:rPr>
          <w:rFonts w:ascii="Calibri" w:hAnsi="Calibri"/>
          <w:sz w:val="20"/>
        </w:rPr>
        <w:t>Network members (suppliers): 7.1M+</w:t>
      </w:r>
    </w:p>
    <w:p>
      <w:pPr>
        <w:pStyle w:val="ListBullet"/>
      </w:pPr>
      <w:r>
        <w:rPr>
          <w:rFonts w:ascii="Calibri" w:hAnsi="Calibri"/>
          <w:sz w:val="20"/>
        </w:rPr>
        <w:t>Transactions: 35M per quarter (+16% YoY)</w:t>
      </w:r>
    </w:p>
    <w:p>
      <w:pPr>
        <w:pStyle w:val="ListBullet"/>
      </w:pPr>
      <w:r>
        <w:rPr>
          <w:rFonts w:ascii="Calibri" w:hAnsi="Calibri"/>
          <w:sz w:val="20"/>
        </w:rPr>
        <w:t>International payments: 137 countries, 106 currencies</w:t>
      </w:r>
    </w:p>
    <w:p>
      <w:pPr>
        <w:pStyle w:val="ListBullet"/>
      </w:pPr>
      <w:r>
        <w:rPr>
          <w:rFonts w:ascii="Calibri" w:hAnsi="Calibri"/>
          <w:sz w:val="20"/>
        </w:rPr>
        <w:t>Products: AP Automation, AR Automation, Spend and Expense (Divvy), Invoice2go</w:t>
      </w:r>
    </w:p>
    <w:p>
      <w:pPr>
        <w:pStyle w:val="ListBullet"/>
      </w:pPr>
      <w:r>
        <w:rPr>
          <w:rFonts w:ascii="Calibri" w:hAnsi="Calibri"/>
          <w:sz w:val="20"/>
        </w:rPr>
        <w:t>Potential acquisition: Hellman and Friedman buyout talks (Feb 2026, ~$4.2B+ value)</w:t>
      </w:r>
    </w:p>
    <w:p>
      <w:pPr>
        <w:pStyle w:val="ListBullet"/>
      </w:pPr>
      <w:r>
        <w:rPr>
          <w:rFonts w:ascii="Calibri" w:hAnsi="Calibri"/>
          <w:sz w:val="20"/>
        </w:rPr>
        <w:t>Activist investors: Starboard Value (8.5%), Elliott (5%+), Barington Capital</w:t>
      </w:r>
    </w:p>
    <w:p>
      <w:pPr>
        <w:pStyle w:val="ListBullet"/>
      </w:pPr>
      <w:r>
        <w:rPr>
          <w:rFonts w:ascii="Calibri" w:hAnsi="Calibri"/>
          <w:sz w:val="20"/>
        </w:rPr>
        <w:t>Board reshuffle Oct 2025: 4 new directors after activist pressure</w:t>
      </w:r>
    </w:p>
    <w:p>
      <w:pPr>
        <w:pStyle w:val="ListBullet"/>
      </w:pPr>
      <w:r>
        <w:rPr>
          <w:rFonts w:ascii="Calibri" w:hAnsi="Calibri"/>
          <w:sz w:val="20"/>
        </w:rPr>
        <w:t>Employees: ~2,200 to 2,400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Confirmed Payment Stack:</w:t>
      </w:r>
    </w:p>
    <w:p>
      <w:pPr>
        <w:pStyle w:val="ListBullet"/>
      </w:pPr>
      <w:r>
        <w:rPr>
          <w:rFonts w:ascii="Calibri" w:hAnsi="Calibri"/>
          <w:sz w:val="20"/>
        </w:rPr>
        <w:t>JPMorgan Chase: primary banking partner for ACH/wire (press release confirmed)</w:t>
      </w:r>
    </w:p>
    <w:p>
      <w:pPr>
        <w:pStyle w:val="ListBullet"/>
      </w:pPr>
      <w:r>
        <w:rPr>
          <w:rFonts w:ascii="Calibri" w:hAnsi="Calibri"/>
          <w:sz w:val="20"/>
        </w:rPr>
        <w:t>Cross River Bank: FDIC member, card issuer for Divvy (case study confirmed)</w:t>
      </w:r>
    </w:p>
    <w:p>
      <w:pPr>
        <w:pStyle w:val="ListBullet"/>
      </w:pPr>
      <w:r>
        <w:rPr>
          <w:rFonts w:ascii="Calibri" w:hAnsi="Calibri"/>
          <w:sz w:val="20"/>
        </w:rPr>
        <w:t>Marqeta: card processor for Divvy/Spend and Expense (press release confirmed)</w:t>
      </w:r>
    </w:p>
    <w:p>
      <w:pPr>
        <w:pStyle w:val="ListBullet"/>
      </w:pPr>
      <w:r>
        <w:rPr>
          <w:rFonts w:ascii="Calibri" w:hAnsi="Calibri"/>
          <w:sz w:val="20"/>
        </w:rPr>
        <w:t>Visa: primary card network for Divvy cards</w:t>
      </w:r>
    </w:p>
    <w:p>
      <w:pPr>
        <w:pStyle w:val="ListBullet"/>
      </w:pPr>
      <w:r>
        <w:rPr>
          <w:rFonts w:ascii="Calibri" w:hAnsi="Calibri"/>
          <w:sz w:val="20"/>
        </w:rPr>
        <w:t>Wise: international payouts (partnership for select corridors)</w:t>
      </w:r>
    </w:p>
    <w:p>
      <w:pPr>
        <w:pStyle w:val="ListBullet"/>
      </w:pPr>
      <w:r>
        <w:rPr>
          <w:rFonts w:ascii="Calibri" w:hAnsi="Calibri"/>
          <w:sz w:val="20"/>
        </w:rPr>
        <w:t>Zerohash: stablecoin (USDC) payouts for global contractors</w:t>
      </w:r>
    </w:p>
    <w:p>
      <w:pPr>
        <w:pStyle w:val="ListBullet"/>
      </w:pPr>
      <w:r>
        <w:rPr>
          <w:rFonts w:ascii="Calibri" w:hAnsi="Calibri"/>
          <w:sz w:val="20"/>
        </w:rPr>
        <w:t>Internal ACH processing: primary rail for US payments</w:t>
      </w:r>
    </w:p>
    <w:p>
      <w:pPr>
        <w:pStyle w:val="ListBullet"/>
      </w:pPr>
      <w:r>
        <w:rPr>
          <w:rFonts w:ascii="Calibri" w:hAnsi="Calibri"/>
          <w:sz w:val="20"/>
        </w:rPr>
        <w:t>Paper checks: legacy option</w:t>
      </w:r>
    </w:p>
    <w:p>
      <w:pPr>
        <w:pStyle w:val="ListBullet"/>
      </w:pPr>
      <w:r>
        <w:rPr>
          <w:rFonts w:ascii="Calibri" w:hAnsi="Calibri"/>
          <w:sz w:val="20"/>
        </w:rPr>
        <w:t>No third-party payment orchestrator detected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Confirmed Payment Methods:</w:t>
      </w:r>
    </w:p>
    <w:p>
      <w:pPr>
        <w:pStyle w:val="ListBullet"/>
      </w:pPr>
      <w:r>
        <w:rPr>
          <w:rFonts w:ascii="Calibri" w:hAnsi="Calibri"/>
          <w:sz w:val="20"/>
        </w:rPr>
        <w:t>ACH ($0.59 per transaction)</w:t>
      </w:r>
    </w:p>
    <w:p>
      <w:pPr>
        <w:pStyle w:val="ListBullet"/>
      </w:pPr>
      <w:r>
        <w:rPr>
          <w:rFonts w:ascii="Calibri" w:hAnsi="Calibri"/>
          <w:sz w:val="20"/>
        </w:rPr>
        <w:t>Check ($1.99 per transaction)</w:t>
      </w:r>
    </w:p>
    <w:p>
      <w:pPr>
        <w:pStyle w:val="ListBullet"/>
      </w:pPr>
      <w:r>
        <w:rPr>
          <w:rFonts w:ascii="Calibri" w:hAnsi="Calibri"/>
          <w:sz w:val="20"/>
        </w:rPr>
        <w:t>Virtual Card (free)</w:t>
      </w:r>
    </w:p>
    <w:p>
      <w:pPr>
        <w:pStyle w:val="ListBullet"/>
      </w:pPr>
      <w:r>
        <w:rPr>
          <w:rFonts w:ascii="Calibri" w:hAnsi="Calibri"/>
          <w:sz w:val="20"/>
        </w:rPr>
        <w:t>Pay By Card: Visa, MC, Amex, Discover (2.9%)</w:t>
      </w:r>
    </w:p>
    <w:p>
      <w:pPr>
        <w:pStyle w:val="ListBullet"/>
      </w:pPr>
      <w:r>
        <w:rPr>
          <w:rFonts w:ascii="Calibri" w:hAnsi="Calibri"/>
          <w:sz w:val="20"/>
        </w:rPr>
        <w:t>International Wire ($14.99 USD, free in local currency)</w:t>
      </w:r>
    </w:p>
    <w:p>
      <w:pPr>
        <w:pStyle w:val="ListBullet"/>
      </w:pPr>
      <w:r>
        <w:rPr>
          <w:rFonts w:ascii="Calibri" w:hAnsi="Calibri"/>
          <w:sz w:val="20"/>
        </w:rPr>
        <w:t>Local Transfer (select countries, up to 4 days faster than wire)</w:t>
      </w:r>
    </w:p>
    <w:p>
      <w:pPr>
        <w:pStyle w:val="ListBullet"/>
      </w:pPr>
      <w:r>
        <w:rPr>
          <w:rFonts w:ascii="Calibri" w:hAnsi="Calibri"/>
          <w:sz w:val="20"/>
        </w:rPr>
        <w:t>Instant Transfer (1.0 to 1.49%)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Top 5 Markets Gap Analysis:</w:t>
      </w:r>
    </w:p>
    <w:p>
      <w:pPr>
        <w:spacing w:after="60"/>
      </w:pPr>
      <w:r>
        <w:rPr>
          <w:rFonts w:ascii="Calibri" w:hAnsi="Calibri"/>
          <w:sz w:val="20"/>
        </w:rPr>
        <w:t>MARKET 1: United States (~85 to 90% of traffic)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ACH, wire, virtual card, credit/debit cards, checks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Real-time payments (RTP), FedNow integration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ACH is next-day at best. RTP/FedNow enables instant settlement for time-critical payments.</w:t>
      </w:r>
    </w:p>
    <w:p>
      <w:pPr>
        <w:spacing w:after="60"/>
      </w:pPr>
      <w:r>
        <w:rPr>
          <w:rFonts w:ascii="Calibri" w:hAnsi="Calibri"/>
          <w:sz w:val="20"/>
        </w:rPr>
        <w:t>MARKET 2: International Vendor Payments (137 countries)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Wire transfer, Local Transfer (limited), USDC stablecoins (via Zerohash)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Pix, UPI, SPEI, SEPA DD, M-Pesa, GCash, iDEAL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Wire fees $14.99 per USD payment. Local rails deliver same-day at fraction of cost.</w:t>
      </w:r>
    </w:p>
    <w:p>
      <w:pPr>
        <w:spacing w:after="60"/>
      </w:pPr>
      <w:r>
        <w:rPr>
          <w:rFonts w:ascii="Calibri" w:hAnsi="Calibri"/>
          <w:sz w:val="20"/>
        </w:rPr>
        <w:t>MARKET 3: Canada (FMSB licensed)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Wire transfers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Interac e-Transfer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Interac is the dominant P2B payment method in Canada. Wire-only is friction for Canadian vendors.</w:t>
      </w:r>
    </w:p>
    <w:p>
      <w:pPr>
        <w:spacing w:after="60"/>
      </w:pPr>
      <w:r>
        <w:rPr>
          <w:rFonts w:ascii="Calibri" w:hAnsi="Calibri"/>
          <w:sz w:val="20"/>
        </w:rPr>
        <w:t>MARKET 4: Australia (Invoice2go subsidiary, Cimrid Pty Ltd)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Wire transfers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PayTo, BPAY, NPP (New Payments Platform)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Invoice2go has Australian roots but no local payment rails confirmed for outbound AP.</w:t>
      </w:r>
    </w:p>
    <w:p>
      <w:pPr>
        <w:spacing w:after="60"/>
      </w:pPr>
      <w:r>
        <w:rPr>
          <w:rFonts w:ascii="Calibri" w:hAnsi="Calibri"/>
          <w:sz w:val="20"/>
        </w:rPr>
        <w:t>MARKET 5: United Kingdom (estimated traffic)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Wire transfers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Open Banking, Faster Payments, BACS Direct Debit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UK Open Banking enables instant, low-cost bank transfers replacing expensive international wires.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Payment complaint evidence:</w:t>
      </w:r>
    </w:p>
    <w:p>
      <w:pPr>
        <w:pStyle w:val="ListBullet"/>
      </w:pPr>
      <w:r>
        <w:rPr>
          <w:rFonts w:ascii="Calibri" w:hAnsi="Calibri"/>
          <w:sz w:val="20"/>
        </w:rPr>
        <w:t>Trustpilot: 2.8 to 3.1/5 (540+ reviews)</w:t>
      </w:r>
    </w:p>
    <w:p>
      <w:pPr>
        <w:pStyle w:val="ListBullet"/>
      </w:pPr>
      <w:r>
        <w:rPr>
          <w:rFonts w:ascii="Calibri" w:hAnsi="Calibri"/>
          <w:sz w:val="20"/>
        </w:rPr>
        <w:t>BBB complaints: held funds, unauthorized charges</w:t>
      </w:r>
    </w:p>
    <w:p>
      <w:pPr>
        <w:pStyle w:val="ListBullet"/>
      </w:pPr>
      <w:r>
        <w:rPr>
          <w:rFonts w:ascii="Calibri" w:hAnsi="Calibri"/>
          <w:sz w:val="20"/>
        </w:rPr>
        <w:t>Service quality decline linked to 2025 layoffs</w:t>
      </w:r>
    </w:p>
    <w:p>
      <w:pPr>
        <w:pStyle w:val="ListBullet"/>
      </w:pPr>
      <w:r>
        <w:rPr>
          <w:rFonts w:ascii="Calibri" w:hAnsi="Calibri"/>
          <w:sz w:val="20"/>
        </w:rPr>
        <w:t>SmartCustomer/Capterra: hidden fees (ACH, integration, per-user)</w:t>
      </w:r>
    </w:p>
    <w:p>
      <w:pPr>
        <w:pStyle w:val="ListBullet"/>
      </w:pPr>
      <w:r>
        <w:rPr>
          <w:rFonts w:ascii="Calibri" w:hAnsi="Calibri"/>
          <w:sz w:val="20"/>
        </w:rPr>
        <w:t>Reddit/Quora: customer support unresponsive</w:t>
      </w:r>
    </w:p>
    <w:p>
      <w:pPr>
        <w:pStyle w:val="ListBullet"/>
      </w:pPr>
      <w:r>
        <w:rPr>
          <w:rFonts w:ascii="Calibri" w:hAnsi="Calibri"/>
          <w:sz w:val="20"/>
        </w:rPr>
        <w:t>QuickBooks sync failures affecting reconciliation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Key meeting angles:</w:t>
      </w:r>
    </w:p>
    <w:p>
      <w:pPr>
        <w:spacing w:after="60"/>
      </w:pPr>
      <w:r>
        <w:rPr>
          <w:rFonts w:ascii="Calibri" w:hAnsi="Calibri"/>
          <w:sz w:val="20"/>
        </w:rPr>
        <w:t>1. **$380B+ annual volume with activist pressure for margin improvement** | Every basis point in routing optimization translates to millions at this scale</w:t>
      </w:r>
    </w:p>
    <w:p>
      <w:pPr>
        <w:spacing w:after="60"/>
      </w:pPr>
      <w:r>
        <w:rPr>
          <w:rFonts w:ascii="Calibri" w:hAnsi="Calibri"/>
          <w:sz w:val="20"/>
        </w:rPr>
        <w:t>2. **PE buyout imminent** | Hellman and Friedman talks mean payment infrastructure audit is likely. Cost optimization is the first thing PE examines</w:t>
      </w:r>
    </w:p>
    <w:p>
      <w:pPr>
        <w:spacing w:after="60"/>
      </w:pPr>
      <w:r>
        <w:rPr>
          <w:rFonts w:ascii="Calibri" w:hAnsi="Calibri"/>
          <w:sz w:val="20"/>
        </w:rPr>
        <w:t>3. **Wire-only international rails** | 137 countries served but no local APMs for outbound AP payments. $14.99 per wire adds up fast</w:t>
      </w:r>
    </w:p>
    <w:p>
      <w:pPr>
        <w:spacing w:after="60"/>
      </w:pPr>
      <w:r>
        <w:rPr>
          <w:rFonts w:ascii="Calibri" w:hAnsi="Calibri"/>
          <w:sz w:val="20"/>
        </w:rPr>
        <w:t>4. **Single-issuer Divvy dependency** | Cross River Bank + Marqeta with zero failover for 498K+ businesses</w:t>
      </w:r>
    </w:p>
    <w:p>
      <w:pPr>
        <w:spacing w:after="60"/>
      </w:pPr>
      <w:r>
        <w:rPr>
          <w:rFonts w:ascii="Calibri" w:hAnsi="Calibri"/>
          <w:sz w:val="20"/>
        </w:rPr>
        <w:t>5. **ERP channel amplification** | NetSuite, Acumatica, Paychex all embedding BILL's limited rails. One Yuno integration upgrades all channels</w:t>
      </w:r>
    </w:p>
    <w:p>
      <w:pPr>
        <w:spacing w:after="60"/>
      </w:pPr>
      <w:r>
        <w:rPr>
          <w:rFonts w:ascii="Calibri" w:hAnsi="Calibri"/>
          <w:sz w:val="20"/>
        </w:rPr>
        <w:t>6. **Growing complaint volume** | Post-layoff service quality decline makes automated payment orchestration more valuable, not less</w:t>
      </w:r>
    </w:p>
    <w:p>
      <w:pPr>
        <w:spacing w:after="60"/>
      </w:pPr>
      <w:r>
        <w:rPr>
          <w:rFonts w:ascii="Calibri" w:hAnsi="Calibri"/>
          <w:sz w:val="20"/>
        </w:rPr>
        <w:t>7. **Stablecoin early adopter** | Zerohash USDC integration shows willingness to innovate on payment rails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Sources:</w:t>
      </w:r>
    </w:p>
    <w:p>
      <w:pPr>
        <w:pStyle w:val="ListBullet"/>
      </w:pPr>
      <w:r>
        <w:rPr>
          <w:rFonts w:ascii="Calibri" w:hAnsi="Calibri"/>
          <w:sz w:val="20"/>
        </w:rPr>
        <w:t>[BILL: International Payments](https://www.bill.com/product/international-payments)</w:t>
      </w:r>
    </w:p>
    <w:p>
      <w:pPr>
        <w:pStyle w:val="ListBullet"/>
      </w:pPr>
      <w:r>
        <w:rPr>
          <w:rFonts w:ascii="Calibri" w:hAnsi="Calibri"/>
          <w:sz w:val="20"/>
        </w:rPr>
        <w:t>[BILL: Payments Product](https://www.bill.com/product/payments)</w:t>
      </w:r>
    </w:p>
    <w:p>
      <w:pPr>
        <w:pStyle w:val="ListBullet"/>
      </w:pPr>
      <w:r>
        <w:rPr>
          <w:rFonts w:ascii="Calibri" w:hAnsi="Calibri"/>
          <w:sz w:val="20"/>
        </w:rPr>
        <w:t>[BILL: Pricing](https://www.bill.com/product/pricing/)</w:t>
      </w:r>
    </w:p>
    <w:p>
      <w:pPr>
        <w:pStyle w:val="ListBullet"/>
      </w:pPr>
      <w:r>
        <w:rPr>
          <w:rFonts w:ascii="Calibri" w:hAnsi="Calibri"/>
          <w:sz w:val="20"/>
        </w:rPr>
        <w:t>[BILL: Security](https://www.bill.com/product/security)</w:t>
      </w:r>
    </w:p>
    <w:p>
      <w:pPr>
        <w:pStyle w:val="ListBullet"/>
      </w:pPr>
      <w:r>
        <w:rPr>
          <w:rFonts w:ascii="Calibri" w:hAnsi="Calibri"/>
          <w:sz w:val="20"/>
        </w:rPr>
        <w:t>[BILL: Q1 FY2026 Earnings](https://investor.bill.com/news/news-details/2025/BILL-Reports-First-Quarter-Fiscal-Year-2026-Financial-Results/default.aspx)</w:t>
      </w:r>
    </w:p>
    <w:p>
      <w:pPr>
        <w:pStyle w:val="ListBullet"/>
      </w:pPr>
      <w:r>
        <w:rPr>
          <w:rFonts w:ascii="Calibri" w:hAnsi="Calibri"/>
          <w:sz w:val="20"/>
        </w:rPr>
        <w:t>[BILL: Q2 FY2026 Presentation](https://www.investing.com/news/company-news/bill-com-q2-2026-presentation-slides-17-core-revenue-growth-despite-market-headwinds-93CH-4489209)</w:t>
      </w:r>
    </w:p>
    <w:p>
      <w:pPr>
        <w:pStyle w:val="ListBullet"/>
      </w:pPr>
      <w:r>
        <w:rPr>
          <w:rFonts w:ascii="Calibri" w:hAnsi="Calibri"/>
          <w:sz w:val="20"/>
        </w:rPr>
        <w:t>[BILL: NetSuite Partnership](https://investor.bill.com/news/news-details/2025/NetSuite-and-BILL-Partner-to-Accelerate-Accounts-Payable-Processes-2025-SUx212Ie36/default.aspx)</w:t>
      </w:r>
    </w:p>
    <w:p>
      <w:pPr>
        <w:pStyle w:val="ListBullet"/>
      </w:pPr>
      <w:r>
        <w:rPr>
          <w:rFonts w:ascii="Calibri" w:hAnsi="Calibri"/>
          <w:sz w:val="20"/>
        </w:rPr>
        <w:t>[JPMorgan Chase: BILL Partnership](https://www.bill.com/press-release/jpmorgan-chase-simplify-sending-and-receiving-business-payments)</w:t>
      </w:r>
    </w:p>
    <w:p>
      <w:pPr>
        <w:pStyle w:val="ListBullet"/>
      </w:pPr>
      <w:r>
        <w:rPr>
          <w:rFonts w:ascii="Calibri" w:hAnsi="Calibri"/>
          <w:sz w:val="20"/>
        </w:rPr>
        <w:t>[Marqeta: BILL Partnership](https://investors.marqeta.com/news-releases/news-release-details/marqeta-and-billcom-partner-power-new-commercial-card-programs)</w:t>
      </w:r>
    </w:p>
    <w:p>
      <w:pPr>
        <w:pStyle w:val="ListBullet"/>
      </w:pPr>
      <w:r>
        <w:rPr>
          <w:rFonts w:ascii="Calibri" w:hAnsi="Calibri"/>
          <w:sz w:val="20"/>
        </w:rPr>
        <w:t>[Cross River: Divvy Case Study](https://www.crossriver.com/case-study/divvy)</w:t>
      </w:r>
    </w:p>
    <w:p>
      <w:pPr>
        <w:pStyle w:val="ListBullet"/>
      </w:pPr>
      <w:r>
        <w:rPr>
          <w:rFonts w:ascii="Calibri" w:hAnsi="Calibri"/>
          <w:sz w:val="20"/>
        </w:rPr>
        <w:t>[Hellman and Friedman Buyout Talks](https://finance.yahoo.com/news/hellman-friedman-reportedly-discussions-buy-091742285.html)</w:t>
      </w:r>
    </w:p>
    <w:p>
      <w:pPr>
        <w:pStyle w:val="ListBullet"/>
      </w:pPr>
      <w:r>
        <w:rPr>
          <w:rFonts w:ascii="Calibri" w:hAnsi="Calibri"/>
          <w:sz w:val="20"/>
        </w:rPr>
        <w:t>[Payments Dive: Activist Investors](https://www.paymentsdive.com/news/bill-ceo-defends-company-performance-activist-Elliott-management-starboard-value/759878/)</w:t>
      </w:r>
    </w:p>
    <w:p>
      <w:pPr>
        <w:pStyle w:val="ListBullet"/>
      </w:pPr>
      <w:r>
        <w:rPr>
          <w:rFonts w:ascii="Calibri" w:hAnsi="Calibri"/>
          <w:sz w:val="20"/>
        </w:rPr>
        <w:t>[Payments Dive: Path to Profits](https://www.paymentsdive.com/news/bill-weighs-the-best-path-to-profits/812067/)</w:t>
      </w:r>
    </w:p>
    <w:p>
      <w:pPr>
        <w:pStyle w:val="ListBullet"/>
      </w:pPr>
      <w:r>
        <w:rPr>
          <w:rFonts w:ascii="Calibri" w:hAnsi="Calibri"/>
          <w:sz w:val="20"/>
        </w:rPr>
        <w:t>[Trustpilot: Bill.com](https://www.trustpilot.com/review/bill.com)</w:t>
      </w:r>
    </w:p>
    <w:p>
      <w:pPr>
        <w:pStyle w:val="ListBullet"/>
      </w:pPr>
      <w:r>
        <w:rPr>
          <w:rFonts w:ascii="Calibri" w:hAnsi="Calibri"/>
          <w:sz w:val="20"/>
        </w:rPr>
        <w:t>[BBB: Bill.com Complaints](https://www.bbb.org/us/ca/alviso/profile/payment-processing-services/billcom-llc-1216-1000005293/complaints)</w:t>
      </w:r>
    </w:p>
    <w:p>
      <w:pPr>
        <w:pStyle w:val="ListBullet"/>
      </w:pPr>
      <w:r>
        <w:rPr>
          <w:rFonts w:ascii="Calibri" w:hAnsi="Calibri"/>
          <w:sz w:val="20"/>
        </w:rPr>
        <w:t>[BILL: International Payment FAQ](https://help.bill.com/direct/s/article/360006829991)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