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A1A2E"/>
        </w:rPr>
        <w:t>BOX | Stripe Sessions Research (SS Database Format)</w:t>
      </w:r>
    </w:p>
    <w:p>
      <w:r>
        <w:rPr>
          <w:rFonts w:ascii="Calibri" w:hAnsi="Calibri"/>
          <w:i/>
          <w:color w:val="999999"/>
          <w:sz w:val="20"/>
        </w:rPr>
        <w:t>Generated: 2026-04-21</w:t>
      </w:r>
    </w:p>
    <w:p>
      <w:r>
        <w:rPr>
          <w:rFonts w:ascii="Calibri" w:hAnsi="Calibri"/>
          <w:b/>
          <w:color w:val="5B4CFF"/>
          <w:sz w:val="28"/>
        </w:rPr>
        <w:t>DATABASE FIELDS: Box</w:t>
      </w:r>
    </w:p>
    <w:p/>
    <w:p>
      <w:r>
        <w:rPr>
          <w:rFonts w:ascii="Calibri" w:hAnsi="Calibri"/>
          <w:b/>
          <w:sz w:val="20"/>
        </w:rPr>
        <w:t xml:space="preserve">Logo: </w:t>
      </w:r>
      <w:r>
        <w:rPr>
          <w:rFonts w:ascii="Calibri" w:hAnsi="Calibri"/>
          <w:sz w:val="20"/>
        </w:rPr>
        <w:t>https://upload.wikimedia.org/wikipedia/commons/5/57/Box%2C_Inc._logo.svg</w:t>
      </w:r>
    </w:p>
    <w:p>
      <w:r>
        <w:rPr>
          <w:rFonts w:ascii="Calibri" w:hAnsi="Calibri"/>
          <w:b/>
          <w:sz w:val="20"/>
        </w:rPr>
        <w:t xml:space="preserve">Nombre merchant: </w:t>
      </w:r>
      <w:r>
        <w:rPr>
          <w:rFonts w:ascii="Calibri" w:hAnsi="Calibri"/>
          <w:sz w:val="20"/>
        </w:rPr>
        <w:t>Box</w:t>
      </w:r>
    </w:p>
    <w:p>
      <w:pPr>
        <w:pStyle w:val="Heading2"/>
      </w:pPr>
      <w:r>
        <w:rPr>
          <w:rFonts w:ascii="Calibri" w:hAnsi="Calibri"/>
          <w:color w:val="5B4CFF"/>
        </w:rPr>
        <w:t>SLIDE 1: PAIN POINTS</w:t>
      </w:r>
    </w:p>
    <w:p>
      <w:r>
        <w:rPr>
          <w:rFonts w:ascii="Calibri" w:hAnsi="Calibri"/>
          <w:b/>
          <w:sz w:val="20"/>
        </w:rPr>
        <w:t xml:space="preserve">Tittle_Pain Point_1: </w:t>
      </w:r>
      <w:r>
        <w:rPr>
          <w:rFonts w:ascii="Calibri" w:hAnsi="Calibri"/>
          <w:sz w:val="20"/>
        </w:rPr>
        <w:t>$50K Card Ceiling</w:t>
      </w:r>
    </w:p>
    <w:p>
      <w:r>
        <w:rPr>
          <w:rFonts w:ascii="Calibri" w:hAnsi="Calibri"/>
          <w:b/>
          <w:sz w:val="20"/>
        </w:rPr>
        <w:t xml:space="preserve">Desc_Pain Point_1: </w:t>
      </w:r>
      <w:r>
        <w:rPr>
          <w:rFonts w:ascii="Calibri" w:hAnsi="Calibri"/>
          <w:sz w:val="20"/>
        </w:rPr>
        <w:t>Credit card charges capped at $50,000. Larger enterprise deals must go through wire or ACH. With 100K+ paying organizations and 68% Fortune 500 penetration, this cap forces high-value renewals into slow manual billing workflows.</w:t>
      </w:r>
      <w:r>
        <w:rPr>
          <w:rFonts w:ascii="Calibri" w:hAnsi="Calibri"/>
          <w:i/>
          <w:color w:val="999999"/>
          <w:sz w:val="16"/>
        </w:rPr>
        <w:t xml:space="preserve">  [228 chars]</w:t>
      </w:r>
    </w:p>
    <w:p/>
    <w:p>
      <w:r>
        <w:rPr>
          <w:rFonts w:ascii="Calibri" w:hAnsi="Calibri"/>
          <w:b/>
          <w:sz w:val="20"/>
        </w:rPr>
        <w:t xml:space="preserve">Tittle_Pain Point_2: </w:t>
      </w:r>
      <w:r>
        <w:rPr>
          <w:rFonts w:ascii="Calibri" w:hAnsi="Calibri"/>
          <w:sz w:val="20"/>
        </w:rPr>
        <w:t>Germany-Only Direct Debit</w:t>
      </w:r>
    </w:p>
    <w:p>
      <w:r>
        <w:rPr>
          <w:rFonts w:ascii="Calibri" w:hAnsi="Calibri"/>
          <w:b/>
          <w:sz w:val="20"/>
        </w:rPr>
        <w:t xml:space="preserve">Desc_Pain Point_2: </w:t>
      </w:r>
      <w:r>
        <w:rPr>
          <w:rFonts w:ascii="Calibri" w:hAnsi="Calibri"/>
          <w:sz w:val="20"/>
        </w:rPr>
        <w:t>Direct Debit is only available to customers in Germany. The rest of Europe, including major markets like Netherlands, France, and Poland, have zero local bank debit options for subscription billing.</w:t>
      </w:r>
      <w:r>
        <w:rPr>
          <w:rFonts w:ascii="Calibri" w:hAnsi="Calibri"/>
          <w:i/>
          <w:color w:val="999999"/>
          <w:sz w:val="16"/>
        </w:rPr>
        <w:t xml:space="preserve">  [198 chars]</w:t>
      </w:r>
    </w:p>
    <w:p/>
    <w:p>
      <w:r>
        <w:rPr>
          <w:rFonts w:ascii="Calibri" w:hAnsi="Calibri"/>
          <w:b/>
          <w:sz w:val="20"/>
        </w:rPr>
        <w:t xml:space="preserve">Tittle_Pain Point_3: </w:t>
      </w:r>
      <w:r>
        <w:rPr>
          <w:rFonts w:ascii="Calibri" w:hAnsi="Calibri"/>
          <w:sz w:val="20"/>
        </w:rPr>
        <w:t>No Payment Failover</w:t>
      </w:r>
    </w:p>
    <w:p>
      <w:r>
        <w:rPr>
          <w:rFonts w:ascii="Calibri" w:hAnsi="Calibri"/>
          <w:b/>
          <w:sz w:val="20"/>
        </w:rPr>
        <w:t xml:space="preserve">Desc_Pain Point_3: </w:t>
      </w:r>
      <w:r>
        <w:rPr>
          <w:rFonts w:ascii="Calibri" w:hAnsi="Calibri"/>
          <w:sz w:val="20"/>
        </w:rPr>
        <w:t>Single payment processor for self-serve plans with no cascade. When a card declines on renewal, there is no alternative acquirer retry. Failed payments risk silent churn across 100K+ organizations in 180+ countries.</w:t>
      </w:r>
      <w:r>
        <w:rPr>
          <w:rFonts w:ascii="Calibri" w:hAnsi="Calibri"/>
          <w:i/>
          <w:color w:val="999999"/>
          <w:sz w:val="16"/>
        </w:rPr>
        <w:t xml:space="preserve">  [215 chars]</w:t>
      </w:r>
    </w:p>
    <w:p/>
    <w:p>
      <w:r>
        <w:rPr>
          <w:rFonts w:ascii="Calibri" w:hAnsi="Calibri"/>
          <w:b/>
          <w:sz w:val="20"/>
        </w:rPr>
        <w:t xml:space="preserve">Tittle_Pain Point_4: </w:t>
      </w:r>
      <w:r>
        <w:rPr>
          <w:rFonts w:ascii="Calibri" w:hAnsi="Calibri"/>
          <w:sz w:val="20"/>
        </w:rPr>
        <w:t>No PayPal Acceptance</w:t>
      </w:r>
    </w:p>
    <w:p>
      <w:r>
        <w:rPr>
          <w:rFonts w:ascii="Calibri" w:hAnsi="Calibri"/>
          <w:b/>
          <w:sz w:val="20"/>
        </w:rPr>
        <w:t xml:space="preserve">Desc_Pain Point_4: </w:t>
      </w:r>
      <w:r>
        <w:rPr>
          <w:rFonts w:ascii="Calibri" w:hAnsi="Calibri"/>
          <w:sz w:val="20"/>
        </w:rPr>
        <w:t>Box explicitly does not accept PayPal. With 435M+ active PayPal accounts globally, this locks out a significant share of SMB and individual users who prefer PayPal for SaaS subscriptions.</w:t>
      </w:r>
      <w:r>
        <w:rPr>
          <w:rFonts w:ascii="Calibri" w:hAnsi="Calibri"/>
          <w:i/>
          <w:color w:val="999999"/>
          <w:sz w:val="16"/>
        </w:rPr>
        <w:t xml:space="preserve">  [187 chars]</w:t>
      </w:r>
    </w:p>
    <w:p/>
    <w:p>
      <w:r>
        <w:rPr>
          <w:rFonts w:ascii="Calibri" w:hAnsi="Calibri"/>
          <w:b/>
          <w:sz w:val="20"/>
        </w:rPr>
        <w:t xml:space="preserve">Tittle_Pain Point_5: </w:t>
      </w:r>
      <w:r>
        <w:rPr>
          <w:rFonts w:ascii="Calibri" w:hAnsi="Calibri"/>
          <w:sz w:val="20"/>
        </w:rPr>
        <w:t>Manual Enterprise Billing</w:t>
      </w:r>
    </w:p>
    <w:p>
      <w:r>
        <w:rPr>
          <w:rFonts w:ascii="Calibri" w:hAnsi="Calibri"/>
          <w:b/>
          <w:sz w:val="20"/>
        </w:rPr>
        <w:t xml:space="preserve">Desc_Pain Point_5: </w:t>
      </w:r>
      <w:r>
        <w:rPr>
          <w:rFonts w:ascii="Calibri" w:hAnsi="Calibri"/>
          <w:sz w:val="20"/>
        </w:rPr>
        <w:t>Wire transfer and ACH require Business-level contracted accounts with $1,000 minimum. Check payments need approval. Enterprise invoice reconciliation across 6 currencies is manual and fragmented.</w:t>
      </w:r>
      <w:r>
        <w:rPr>
          <w:rFonts w:ascii="Calibri" w:hAnsi="Calibri"/>
          <w:i/>
          <w:color w:val="999999"/>
          <w:sz w:val="16"/>
        </w:rPr>
        <w:t xml:space="preserve">  [195 chars]</w:t>
      </w:r>
    </w:p>
    <w:p/>
    <w:p>
      <w:pPr>
        <w:pStyle w:val="Heading2"/>
      </w:pPr>
      <w:r>
        <w:rPr>
          <w:rFonts w:ascii="Calibri" w:hAnsi="Calibri"/>
          <w:color w:val="5B4CFF"/>
        </w:rPr>
        <w:t>SLIDE 1: PSP TOPOLOGY</w:t>
      </w:r>
    </w:p>
    <w:p>
      <w:r>
        <w:rPr>
          <w:rFonts w:ascii="Calibri" w:hAnsi="Calibri"/>
          <w:b/>
          <w:sz w:val="20"/>
        </w:rPr>
        <w:t xml:space="preserve">PSP_1: </w:t>
      </w:r>
      <w:r>
        <w:rPr>
          <w:rFonts w:ascii="Calibri" w:hAnsi="Calibri"/>
          <w:sz w:val="20"/>
        </w:rPr>
        <w:t>Credit Card processing (Visa/MC/Amex/Discover/JCB)</w:t>
      </w:r>
    </w:p>
    <w:p>
      <w:r>
        <w:rPr>
          <w:rFonts w:ascii="Calibri" w:hAnsi="Calibri"/>
          <w:b/>
          <w:sz w:val="20"/>
        </w:rPr>
        <w:t xml:space="preserve">PSP_2: </w:t>
      </w:r>
      <w:r>
        <w:rPr>
          <w:rFonts w:ascii="Calibri" w:hAnsi="Calibri"/>
          <w:sz w:val="20"/>
        </w:rPr>
        <w:t>Wire Transfer / ACH (Business contracted accounts)</w:t>
      </w:r>
    </w:p>
    <w:p>
      <w:r>
        <w:rPr>
          <w:rFonts w:ascii="Calibri" w:hAnsi="Calibri"/>
          <w:b/>
          <w:sz w:val="20"/>
        </w:rPr>
        <w:t xml:space="preserve">PSP_3: </w:t>
      </w:r>
      <w:r>
        <w:rPr>
          <w:rFonts w:ascii="Calibri" w:hAnsi="Calibri"/>
          <w:sz w:val="20"/>
        </w:rPr>
        <w:t>Direct Debit (Germany only)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1: Credit Card processing (Visa/MC/Amex/Discover/JCB)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2: Wire Transfer / ACH (Business contracted accounts)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3: Direct Debit (Germany only)</w:t>
            </w:r>
          </w:p>
        </w:tc>
      </w:tr>
    </w:tbl>
    <w:p>
      <w:pPr>
        <w:pStyle w:val="Heading2"/>
      </w:pPr>
      <w:r>
        <w:rPr>
          <w:rFonts w:ascii="Calibri" w:hAnsi="Calibri"/>
          <w:color w:val="5B4CFF"/>
        </w:rPr>
        <w:t>SLIDE 1: MISSING LOCAL METHODS (BLIND SPOTS)</w:t>
      </w:r>
    </w:p>
    <w:p>
      <w:r>
        <w:rPr>
          <w:rFonts w:ascii="Calibri" w:hAnsi="Calibri"/>
          <w:b/>
          <w:sz w:val="20"/>
        </w:rPr>
        <w:t xml:space="preserve">Local_M_1: </w:t>
      </w:r>
      <w:r>
        <w:rPr>
          <w:rFonts w:ascii="Calibri" w:hAnsi="Calibri"/>
          <w:sz w:val="20"/>
        </w:rPr>
        <w:t>PayPal</w:t>
      </w:r>
    </w:p>
    <w:p>
      <w:r>
        <w:rPr>
          <w:rFonts w:ascii="Calibri" w:hAnsi="Calibri"/>
          <w:b/>
          <w:sz w:val="20"/>
        </w:rPr>
        <w:t xml:space="preserve">Local_M_2: </w:t>
      </w:r>
      <w:r>
        <w:rPr>
          <w:rFonts w:ascii="Calibri" w:hAnsi="Calibri"/>
          <w:sz w:val="20"/>
        </w:rPr>
        <w:t>iDEAL</w:t>
      </w:r>
    </w:p>
    <w:p>
      <w:r>
        <w:rPr>
          <w:rFonts w:ascii="Calibri" w:hAnsi="Calibri"/>
          <w:b/>
          <w:sz w:val="20"/>
        </w:rPr>
        <w:t xml:space="preserve">Local_M_3: </w:t>
      </w:r>
      <w:r>
        <w:rPr>
          <w:rFonts w:ascii="Calibri" w:hAnsi="Calibri"/>
          <w:sz w:val="20"/>
        </w:rPr>
        <w:t>SEPA Direct Debit</w:t>
      </w:r>
    </w:p>
    <w:p>
      <w:r>
        <w:rPr>
          <w:rFonts w:ascii="Calibri" w:hAnsi="Calibri"/>
          <w:b/>
          <w:sz w:val="20"/>
        </w:rPr>
        <w:t xml:space="preserve">Local_M_4: </w:t>
      </w:r>
      <w:r>
        <w:rPr>
          <w:rFonts w:ascii="Calibri" w:hAnsi="Calibri"/>
          <w:sz w:val="20"/>
        </w:rPr>
        <w:t>Pix</w:t>
      </w:r>
    </w:p>
    <w:p>
      <w:r>
        <w:rPr>
          <w:rFonts w:ascii="Calibri" w:hAnsi="Calibri"/>
          <w:b/>
          <w:sz w:val="20"/>
        </w:rPr>
        <w:t xml:space="preserve">Local_M_5: </w:t>
      </w:r>
      <w:r>
        <w:rPr>
          <w:rFonts w:ascii="Calibri" w:hAnsi="Calibri"/>
          <w:sz w:val="20"/>
        </w:rPr>
        <w:t>UPI</w:t>
      </w:r>
    </w:p>
    <w:p>
      <w:r>
        <w:rPr>
          <w:rFonts w:ascii="Calibri" w:hAnsi="Calibri"/>
          <w:b/>
          <w:sz w:val="20"/>
        </w:rPr>
        <w:t xml:space="preserve">Local_M_6: </w:t>
      </w:r>
      <w:r>
        <w:rPr>
          <w:rFonts w:ascii="Calibri" w:hAnsi="Calibri"/>
          <w:sz w:val="20"/>
        </w:rPr>
        <w:t>BLIK</w:t>
      </w:r>
    </w:p>
    <w:p>
      <w:r>
        <w:rPr>
          <w:rFonts w:ascii="Calibri" w:hAnsi="Calibri"/>
          <w:b/>
          <w:sz w:val="20"/>
        </w:rPr>
        <w:t xml:space="preserve">Local_M_7: </w:t>
      </w:r>
      <w:r>
        <w:rPr>
          <w:rFonts w:ascii="Calibri" w:hAnsi="Calibri"/>
          <w:sz w:val="20"/>
        </w:rPr>
        <w:t>Boleto</w:t>
      </w:r>
    </w:p>
    <w:p>
      <w:r>
        <w:rPr>
          <w:rFonts w:ascii="Calibri" w:hAnsi="Calibri"/>
          <w:b/>
          <w:sz w:val="20"/>
        </w:rPr>
        <w:t xml:space="preserve">Local_M_8: </w:t>
      </w:r>
      <w:r>
        <w:rPr>
          <w:rFonts w:ascii="Calibri" w:hAnsi="Calibri"/>
          <w:sz w:val="20"/>
        </w:rPr>
        <w:t>Bancontact</w:t>
      </w:r>
    </w:p>
    <w:p>
      <w:r>
        <w:rPr>
          <w:rFonts w:ascii="Calibri" w:hAnsi="Calibri"/>
          <w:b/>
          <w:sz w:val="20"/>
        </w:rPr>
        <w:t xml:space="preserve">Local_M_9: </w:t>
      </w:r>
      <w:r>
        <w:rPr>
          <w:rFonts w:ascii="Calibri" w:hAnsi="Calibri"/>
          <w:sz w:val="20"/>
        </w:rPr>
        <w:t>KakaoPay</w:t>
      </w:r>
    </w:p>
    <w:p>
      <w:r>
        <w:rPr>
          <w:rFonts w:ascii="Calibri" w:hAnsi="Calibri"/>
          <w:b/>
          <w:sz w:val="20"/>
        </w:rPr>
        <w:t xml:space="preserve">Local_M_10: </w:t>
      </w:r>
      <w:r>
        <w:rPr>
          <w:rFonts w:ascii="Calibri" w:hAnsi="Calibri"/>
          <w:sz w:val="20"/>
        </w:rPr>
        <w:t>GrabPay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PayPal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iDEAL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SEPA Direct Debit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Pix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UPI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BLIK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Boleto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Bancontact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KakaoPay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GrabPay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SLIDE 2: YUNO CAPABILITIES</w:t>
      </w:r>
    </w:p>
    <w:p>
      <w:r>
        <w:rPr>
          <w:rFonts w:ascii="Calibri" w:hAnsi="Calibri"/>
          <w:b/>
          <w:sz w:val="20"/>
        </w:rPr>
        <w:t xml:space="preserve">Tittle_Yuno_Cap1: </w:t>
      </w:r>
      <w:r>
        <w:rPr>
          <w:rFonts w:ascii="Calibri" w:hAnsi="Calibri"/>
          <w:sz w:val="20"/>
        </w:rPr>
        <w:t>Smart Routing</w:t>
      </w:r>
    </w:p>
    <w:p>
      <w:r>
        <w:rPr>
          <w:rFonts w:ascii="Calibri" w:hAnsi="Calibri"/>
          <w:b/>
          <w:sz w:val="20"/>
        </w:rPr>
        <w:t xml:space="preserve">Desc_Yuno_Cap1: </w:t>
      </w:r>
      <w:r>
        <w:rPr>
          <w:rFonts w:ascii="Calibri" w:hAnsi="Calibri"/>
          <w:sz w:val="20"/>
        </w:rPr>
        <w:t>Per-transaction routing by card BIN, issuer, and geography. With $1.18B revenue, 100K+ paying organizations across 180+ countries, and 68% Fortune 500 penetration, routing each renewal to the best acquirer per market delivers 3-10% auth uplift on global subscriptions.</w:t>
      </w:r>
      <w:r>
        <w:rPr>
          <w:rFonts w:ascii="Calibri" w:hAnsi="Calibri"/>
          <w:i/>
          <w:color w:val="999999"/>
          <w:sz w:val="16"/>
        </w:rPr>
        <w:t xml:space="preserve">  [268 chars]</w:t>
      </w:r>
    </w:p>
    <w:p/>
    <w:p>
      <w:r>
        <w:rPr>
          <w:rFonts w:ascii="Calibri" w:hAnsi="Calibri"/>
          <w:b/>
          <w:sz w:val="20"/>
        </w:rPr>
        <w:t xml:space="preserve">Tittle_Yuno_Cap2: </w:t>
      </w:r>
      <w:r>
        <w:rPr>
          <w:rFonts w:ascii="Calibri" w:hAnsi="Calibri"/>
          <w:sz w:val="20"/>
        </w:rPr>
        <w:t>Failover &amp; Retries</w:t>
      </w:r>
    </w:p>
    <w:p>
      <w:r>
        <w:rPr>
          <w:rFonts w:ascii="Calibri" w:hAnsi="Calibri"/>
          <w:b/>
          <w:sz w:val="20"/>
        </w:rPr>
        <w:t xml:space="preserve">Desc_Yuno_Cap2: </w:t>
      </w:r>
      <w:r>
        <w:rPr>
          <w:rFonts w:ascii="Calibri" w:hAnsi="Calibri"/>
          <w:sz w:val="20"/>
        </w:rPr>
        <w:t>Automatic cascade when a card decline hits the $50K ceiling or fails on renewal. Instead of losing the subscriber to silent churn, Yuno retries through the next best processor in milliseconds. Up to 50% recovery on failed transactions retains enterprise ARR.</w:t>
      </w:r>
      <w:r>
        <w:rPr>
          <w:rFonts w:ascii="Calibri" w:hAnsi="Calibri"/>
          <w:i/>
          <w:color w:val="999999"/>
          <w:sz w:val="16"/>
        </w:rPr>
        <w:t xml:space="preserve">  [258 chars]</w:t>
      </w:r>
    </w:p>
    <w:p/>
    <w:p>
      <w:r>
        <w:rPr>
          <w:rFonts w:ascii="Calibri" w:hAnsi="Calibri"/>
          <w:b/>
          <w:sz w:val="20"/>
        </w:rPr>
        <w:t xml:space="preserve">Tittle_Yuno_Cap3: </w:t>
      </w:r>
      <w:r>
        <w:rPr>
          <w:rFonts w:ascii="Calibri" w:hAnsi="Calibri"/>
          <w:sz w:val="20"/>
        </w:rPr>
        <w:t>Local Payment Methods</w:t>
      </w:r>
    </w:p>
    <w:p>
      <w:r>
        <w:rPr>
          <w:rFonts w:ascii="Calibri" w:hAnsi="Calibri"/>
          <w:b/>
          <w:sz w:val="20"/>
        </w:rPr>
        <w:t xml:space="preserve">Desc_Yuno_Cap3: </w:t>
      </w:r>
      <w:r>
        <w:rPr>
          <w:rFonts w:ascii="Calibri" w:hAnsi="Calibri"/>
          <w:sz w:val="20"/>
        </w:rPr>
        <w:t>Activates methods Box's global enterprise base demands: PayPal, iDEAL in Netherlands, SEPA DD across Europe (not just Germany), Pix in Brazil, UPI in India, BLIK in Poland, Bancontact in Belgium, KakaoPay in Korea. One API, 1,000+ methods.</w:t>
      </w:r>
      <w:r>
        <w:rPr>
          <w:rFonts w:ascii="Calibri" w:hAnsi="Calibri"/>
          <w:i/>
          <w:color w:val="999999"/>
          <w:sz w:val="16"/>
        </w:rPr>
        <w:t xml:space="preserve">  [239 chars]</w:t>
      </w:r>
    </w:p>
    <w:p/>
    <w:p>
      <w:r>
        <w:rPr>
          <w:rFonts w:ascii="Calibri" w:hAnsi="Calibri"/>
          <w:b/>
          <w:sz w:val="20"/>
        </w:rPr>
        <w:t xml:space="preserve">Tittle_Yuno_Cap4: </w:t>
      </w:r>
      <w:r>
        <w:rPr>
          <w:rFonts w:ascii="Calibri" w:hAnsi="Calibri"/>
          <w:sz w:val="20"/>
        </w:rPr>
        <w:t>Unified Orchestration</w:t>
      </w:r>
    </w:p>
    <w:p>
      <w:r>
        <w:rPr>
          <w:rFonts w:ascii="Calibri" w:hAnsi="Calibri"/>
          <w:b/>
          <w:sz w:val="20"/>
        </w:rPr>
        <w:t xml:space="preserve">Desc_Yuno_Cap4: </w:t>
      </w:r>
      <w:r>
        <w:rPr>
          <w:rFonts w:ascii="Calibri" w:hAnsi="Calibri"/>
          <w:sz w:val="20"/>
        </w:rPr>
        <w:t>One dashboard unifying card processing, wire/ACH invoicing, and German Direct Debit into a single view. Real-time approval monitoring per country, centralized multi-currency reconciliation (6 currencies), and NOVA fraud detection (75% reduction).</w:t>
      </w:r>
      <w:r>
        <w:rPr>
          <w:rFonts w:ascii="Calibri" w:hAnsi="Calibri"/>
          <w:i/>
          <w:color w:val="999999"/>
          <w:sz w:val="16"/>
        </w:rPr>
        <w:t xml:space="preserve">  [246 chars]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color w:val="5B4CFF"/>
        </w:rPr>
        <w:t>RESEARCH BACKING | Key Facts for the Meeting</w:t>
      </w:r>
    </w:p>
    <w:p>
      <w:pPr>
        <w:pStyle w:val="Heading2"/>
      </w:pPr>
      <w:r>
        <w:rPr>
          <w:rFonts w:ascii="Calibri" w:hAnsi="Calibri"/>
          <w:color w:val="5B4CFF"/>
        </w:rPr>
        <w:t>RESEARCH BACKING | Key Facts for the Meeting</w:t>
      </w:r>
    </w:p>
    <w:p>
      <w:pPr>
        <w:pStyle w:val="Heading2"/>
      </w:pPr>
      <w:r>
        <w:rPr>
          <w:rFonts w:ascii="Calibri" w:hAnsi="Calibri"/>
          <w:color w:val="5B4CFF"/>
        </w:rPr>
        <w:t>Box at a glance:</w:t>
      </w:r>
    </w:p>
    <w:p>
      <w:pPr>
        <w:pStyle w:val="ListBullet"/>
      </w:pPr>
      <w:r>
        <w:rPr>
          <w:rFonts w:ascii="Calibri" w:hAnsi="Calibri"/>
          <w:sz w:val="20"/>
        </w:rPr>
        <w:t>Founded: 2005 by Aaron Levie and Dylan Smith. HQ: Redwood City, California</w:t>
      </w:r>
    </w:p>
    <w:p>
      <w:pPr>
        <w:pStyle w:val="ListBullet"/>
      </w:pPr>
      <w:r>
        <w:rPr>
          <w:rFonts w:ascii="Calibri" w:hAnsi="Calibri"/>
          <w:sz w:val="20"/>
        </w:rPr>
        <w:t>Public: NYSE: BOX</w:t>
      </w:r>
    </w:p>
    <w:p>
      <w:pPr>
        <w:pStyle w:val="ListBullet"/>
      </w:pPr>
      <w:r>
        <w:rPr>
          <w:rFonts w:ascii="Calibri" w:hAnsi="Calibri"/>
          <w:sz w:val="20"/>
        </w:rPr>
        <w:t>Revenue: $1.18B (FY2026, ending January 31, 2026), up 8% YoY</w:t>
      </w:r>
    </w:p>
    <w:p>
      <w:pPr>
        <w:pStyle w:val="ListBullet"/>
      </w:pPr>
      <w:r>
        <w:rPr>
          <w:rFonts w:ascii="Calibri" w:hAnsi="Calibri"/>
          <w:sz w:val="20"/>
        </w:rPr>
        <w:t>Market cap: ~$3.28B (April 2026)</w:t>
      </w:r>
    </w:p>
    <w:p>
      <w:pPr>
        <w:pStyle w:val="ListBullet"/>
      </w:pPr>
      <w:r>
        <w:rPr>
          <w:rFonts w:ascii="Calibri" w:hAnsi="Calibri"/>
          <w:sz w:val="20"/>
        </w:rPr>
        <w:t>Operating margin: 28% (FY2026)</w:t>
      </w:r>
    </w:p>
    <w:p>
      <w:pPr>
        <w:pStyle w:val="ListBullet"/>
      </w:pPr>
      <w:r>
        <w:rPr>
          <w:rFonts w:ascii="Calibri" w:hAnsi="Calibri"/>
          <w:sz w:val="20"/>
        </w:rPr>
        <w:t>Free cash flow: $313M (FY2026, up 3% YoY)</w:t>
      </w:r>
    </w:p>
    <w:p>
      <w:pPr>
        <w:pStyle w:val="ListBullet"/>
      </w:pPr>
      <w:r>
        <w:rPr>
          <w:rFonts w:ascii="Calibri" w:hAnsi="Calibri"/>
          <w:sz w:val="20"/>
        </w:rPr>
        <w:t>Remaining Performance Obligations: $1.469B (+21% YoY)</w:t>
      </w:r>
    </w:p>
    <w:p>
      <w:pPr>
        <w:pStyle w:val="ListBullet"/>
      </w:pPr>
      <w:r>
        <w:rPr>
          <w:rFonts w:ascii="Calibri" w:hAnsi="Calibri"/>
          <w:sz w:val="20"/>
        </w:rPr>
        <w:t>Customers: 100,000+ paying organizations</w:t>
      </w:r>
    </w:p>
    <w:p>
      <w:pPr>
        <w:pStyle w:val="ListBullet"/>
      </w:pPr>
      <w:r>
        <w:rPr>
          <w:rFonts w:ascii="Calibri" w:hAnsi="Calibri"/>
          <w:sz w:val="20"/>
        </w:rPr>
        <w:t>Enterprise adoption: 68% of Fortune 500 use Box</w:t>
      </w:r>
    </w:p>
    <w:p>
      <w:pPr>
        <w:pStyle w:val="ListBullet"/>
      </w:pPr>
      <w:r>
        <w:rPr>
          <w:rFonts w:ascii="Calibri" w:hAnsi="Calibri"/>
          <w:sz w:val="20"/>
        </w:rPr>
        <w:t>Net retention rate: ~104%</w:t>
      </w:r>
    </w:p>
    <w:p>
      <w:pPr>
        <w:pStyle w:val="ListBullet"/>
      </w:pPr>
      <w:r>
        <w:rPr>
          <w:rFonts w:ascii="Calibri" w:hAnsi="Calibri"/>
          <w:sz w:val="20"/>
        </w:rPr>
        <w:t>Employees: 2,912 (January 2026, +3.6% YoY)</w:t>
      </w:r>
    </w:p>
    <w:p>
      <w:pPr>
        <w:pStyle w:val="ListBullet"/>
      </w:pPr>
      <w:r>
        <w:rPr>
          <w:rFonts w:ascii="Calibri" w:hAnsi="Calibri"/>
          <w:sz w:val="20"/>
        </w:rPr>
        <w:t>Accepted currencies: USD, CAD, GBP, EUR, JPY, AUD (contracted accounts)</w:t>
      </w:r>
    </w:p>
    <w:p>
      <w:pPr>
        <w:pStyle w:val="ListBullet"/>
      </w:pPr>
      <w:r>
        <w:rPr>
          <w:rFonts w:ascii="Calibri" w:hAnsi="Calibri"/>
          <w:sz w:val="20"/>
        </w:rPr>
        <w:t>AI strategy: Box AI, intelligent content management</w:t>
      </w:r>
    </w:p>
    <w:p>
      <w:pPr>
        <w:pStyle w:val="ListBullet"/>
      </w:pPr>
      <w:r>
        <w:rPr>
          <w:rFonts w:ascii="Calibri" w:hAnsi="Calibri"/>
          <w:sz w:val="20"/>
        </w:rPr>
        <w:t>Products: Box Drive, Box Sign, Box Shield, Box Relay, Box Notes, Box Governance</w:t>
      </w:r>
    </w:p>
    <w:p>
      <w:pPr>
        <w:pStyle w:val="Heading2"/>
      </w:pPr>
      <w:r>
        <w:rPr>
          <w:rFonts w:ascii="Calibri" w:hAnsi="Calibri"/>
          <w:color w:val="5B4CFF"/>
        </w:rPr>
        <w:t>Confirmed Payment Stack:</w:t>
      </w:r>
    </w:p>
    <w:p>
      <w:pPr>
        <w:pStyle w:val="ListBullet"/>
      </w:pPr>
      <w:r>
        <w:rPr>
          <w:rFonts w:ascii="Calibri" w:hAnsi="Calibri"/>
          <w:sz w:val="20"/>
        </w:rPr>
        <w:t>Credit cards: Visa, MasterCard, American Express, Discover, JCB (Japan only)</w:t>
      </w:r>
    </w:p>
    <w:p>
      <w:pPr>
        <w:pStyle w:val="ListBullet"/>
      </w:pPr>
      <w:r>
        <w:rPr>
          <w:rFonts w:ascii="Calibri" w:hAnsi="Calibri"/>
          <w:sz w:val="20"/>
        </w:rPr>
        <w:t>Wire Transfer: Preferred for Business-level accounts ($1,000 minimum)</w:t>
      </w:r>
    </w:p>
    <w:p>
      <w:pPr>
        <w:pStyle w:val="ListBullet"/>
      </w:pPr>
      <w:r>
        <w:rPr>
          <w:rFonts w:ascii="Calibri" w:hAnsi="Calibri"/>
          <w:sz w:val="20"/>
        </w:rPr>
        <w:t>ACH: Available for Business-level contracted accounts ($1,000 minimum)</w:t>
      </w:r>
    </w:p>
    <w:p>
      <w:pPr>
        <w:pStyle w:val="ListBullet"/>
      </w:pPr>
      <w:r>
        <w:rPr>
          <w:rFonts w:ascii="Calibri" w:hAnsi="Calibri"/>
          <w:sz w:val="20"/>
        </w:rPr>
        <w:t>Check: Subject to approval and geographic availability</w:t>
      </w:r>
    </w:p>
    <w:p>
      <w:pPr>
        <w:pStyle w:val="ListBullet"/>
      </w:pPr>
      <w:r>
        <w:rPr>
          <w:rFonts w:ascii="Calibri" w:hAnsi="Calibri"/>
          <w:sz w:val="20"/>
        </w:rPr>
        <w:t>Direct Debit: Germany only</w:t>
      </w:r>
    </w:p>
    <w:p>
      <w:pPr>
        <w:pStyle w:val="ListBullet"/>
      </w:pPr>
      <w:r>
        <w:rPr>
          <w:rFonts w:ascii="Calibri" w:hAnsi="Calibri"/>
          <w:sz w:val="20"/>
        </w:rPr>
        <w:t>Bill.com integration: Payment Network ID 0115981319149676</w:t>
      </w:r>
    </w:p>
    <w:p>
      <w:pPr>
        <w:pStyle w:val="ListBullet"/>
      </w:pPr>
      <w:r>
        <w:rPr>
          <w:rFonts w:ascii="Calibri" w:hAnsi="Calibri"/>
          <w:sz w:val="20"/>
        </w:rPr>
        <w:t>Credit card charge limit: $50,000 USD or equivalent</w:t>
      </w:r>
    </w:p>
    <w:p>
      <w:pPr>
        <w:pStyle w:val="ListBullet"/>
      </w:pPr>
      <w:r>
        <w:rPr>
          <w:rFonts w:ascii="Calibri" w:hAnsi="Calibri"/>
          <w:sz w:val="20"/>
        </w:rPr>
        <w:t>No PayPal accepted (explicitly stated in help docs)</w:t>
      </w:r>
    </w:p>
    <w:p>
      <w:pPr>
        <w:pStyle w:val="ListBullet"/>
      </w:pPr>
      <w:r>
        <w:rPr>
          <w:rFonts w:ascii="Calibri" w:hAnsi="Calibri"/>
          <w:sz w:val="20"/>
        </w:rPr>
        <w:t>No local APMs beyond German Direct Debit</w:t>
      </w:r>
    </w:p>
    <w:p>
      <w:pPr>
        <w:pStyle w:val="ListBullet"/>
      </w:pPr>
      <w:r>
        <w:rPr>
          <w:rFonts w:ascii="Calibri" w:hAnsi="Calibri"/>
          <w:sz w:val="20"/>
        </w:rPr>
        <w:t>No payment orchestrator detected</w:t>
      </w:r>
    </w:p>
    <w:p>
      <w:pPr>
        <w:pStyle w:val="ListBullet"/>
      </w:pPr>
      <w:r>
        <w:rPr>
          <w:rFonts w:ascii="Calibri" w:hAnsi="Calibri"/>
          <w:sz w:val="20"/>
        </w:rPr>
        <w:t>No multi-processor failover capability</w:t>
      </w:r>
    </w:p>
    <w:p>
      <w:pPr>
        <w:pStyle w:val="Heading2"/>
      </w:pPr>
      <w:r>
        <w:rPr>
          <w:rFonts w:ascii="Calibri" w:hAnsi="Calibri"/>
          <w:color w:val="5B4CFF"/>
        </w:rPr>
        <w:t>Payment Method Gaps (Evidence):</w:t>
      </w:r>
    </w:p>
    <w:p>
      <w:pPr>
        <w:pStyle w:val="ListBullet"/>
      </w:pPr>
      <w:r>
        <w:rPr>
          <w:rFonts w:ascii="Calibri" w:hAnsi="Calibri"/>
          <w:sz w:val="20"/>
        </w:rPr>
        <w:t>PayPal: Explicitly not accepted. Help docs state "Box does not currently accept PayPal"</w:t>
      </w:r>
    </w:p>
    <w:p>
      <w:pPr>
        <w:pStyle w:val="ListBullet"/>
      </w:pPr>
      <w:r>
        <w:rPr>
          <w:rFonts w:ascii="Calibri" w:hAnsi="Calibri"/>
          <w:sz w:val="20"/>
        </w:rPr>
        <w:t>SEPA Direct Debit: Not available despite European enterprise customer base</w:t>
      </w:r>
    </w:p>
    <w:p>
      <w:pPr>
        <w:pStyle w:val="ListBullet"/>
      </w:pPr>
      <w:r>
        <w:rPr>
          <w:rFonts w:ascii="Calibri" w:hAnsi="Calibri"/>
          <w:sz w:val="20"/>
        </w:rPr>
        <w:t>Direct Debit limited to Germany only, excluding all other European markets</w:t>
      </w:r>
    </w:p>
    <w:p>
      <w:pPr>
        <w:pStyle w:val="ListBullet"/>
      </w:pPr>
      <w:r>
        <w:rPr>
          <w:rFonts w:ascii="Calibri" w:hAnsi="Calibri"/>
          <w:sz w:val="20"/>
        </w:rPr>
        <w:t>Wire/ACH require Business-level contracted accounts with $1,000 minimum</w:t>
      </w:r>
    </w:p>
    <w:p>
      <w:pPr>
        <w:pStyle w:val="ListBullet"/>
      </w:pPr>
      <w:r>
        <w:rPr>
          <w:rFonts w:ascii="Calibri" w:hAnsi="Calibri"/>
          <w:sz w:val="20"/>
        </w:rPr>
        <w:t>Credit card cap at $50,000 forces large enterprise deals into manual billing</w:t>
      </w:r>
    </w:p>
    <w:p>
      <w:pPr>
        <w:pStyle w:val="ListBullet"/>
      </w:pPr>
      <w:r>
        <w:rPr>
          <w:rFonts w:ascii="Calibri" w:hAnsi="Calibri"/>
          <w:sz w:val="20"/>
        </w:rPr>
        <w:t>No local payment methods for Asia, LATAM, or most of Europe</w:t>
      </w:r>
    </w:p>
    <w:p>
      <w:pPr>
        <w:pStyle w:val="ListBullet"/>
      </w:pPr>
      <w:r>
        <w:rPr>
          <w:rFonts w:ascii="Calibri" w:hAnsi="Calibri"/>
          <w:sz w:val="20"/>
        </w:rPr>
        <w:t>JCB only accepted in Japan, no other APAC-specific methods</w:t>
      </w:r>
    </w:p>
    <w:p>
      <w:pPr>
        <w:pStyle w:val="Heading2"/>
      </w:pPr>
      <w:r>
        <w:rPr>
          <w:rFonts w:ascii="Calibri" w:hAnsi="Calibri"/>
          <w:color w:val="5B4CFF"/>
        </w:rPr>
        <w:t>Top 5 Markets Gap Analysis:</w:t>
      </w:r>
    </w:p>
    <w:p>
      <w:r>
        <w:rPr>
          <w:rFonts w:ascii="Calibri" w:hAnsi="Calibri"/>
          <w:b/>
          <w:sz w:val="20"/>
        </w:rPr>
        <w:t>MARKET 1: United States (largest enterprise market)</w:t>
      </w:r>
    </w:p>
    <w:p>
      <w:pPr>
        <w:pStyle w:val="ListBullet"/>
      </w:pPr>
      <w:r>
        <w:rPr>
          <w:rFonts w:ascii="Calibri" w:hAnsi="Calibri"/>
          <w:sz w:val="20"/>
        </w:rPr>
        <w:t>Accepted: Visa/MC/Amex/Discover, ACH, Wire, Check</w:t>
      </w:r>
    </w:p>
    <w:p>
      <w:pPr>
        <w:pStyle w:val="ListBullet"/>
      </w:pPr>
      <w:r>
        <w:rPr>
          <w:rFonts w:ascii="Calibri" w:hAnsi="Calibri"/>
          <w:sz w:val="20"/>
        </w:rPr>
        <w:t>Missing: PayPal, Apple Pay, Google Pay</w:t>
      </w:r>
    </w:p>
    <w:p>
      <w:pPr>
        <w:pStyle w:val="ListBullet"/>
      </w:pPr>
      <w:r>
        <w:rPr>
          <w:rFonts w:ascii="Calibri" w:hAnsi="Calibri"/>
          <w:sz w:val="20"/>
        </w:rPr>
        <w:t>Note: Most complete coverage, but $50K card cap and no failover processor</w:t>
      </w:r>
    </w:p>
    <w:p>
      <w:r>
        <w:rPr>
          <w:rFonts w:ascii="Calibri" w:hAnsi="Calibri"/>
          <w:b/>
          <w:sz w:val="20"/>
        </w:rPr>
        <w:t>MARKET 2: Europe (significant enterprise base)</w:t>
      </w:r>
    </w:p>
    <w:p>
      <w:pPr>
        <w:pStyle w:val="ListBullet"/>
      </w:pPr>
      <w:r>
        <w:rPr>
          <w:rFonts w:ascii="Calibri" w:hAnsi="Calibri"/>
          <w:sz w:val="20"/>
        </w:rPr>
        <w:t>Accepted: Visa/MC/Amex, Wire (contracted), Direct Debit (Germany only)</w:t>
      </w:r>
    </w:p>
    <w:p>
      <w:pPr>
        <w:pStyle w:val="ListBullet"/>
      </w:pPr>
      <w:r>
        <w:rPr>
          <w:rFonts w:ascii="Calibri" w:hAnsi="Calibri"/>
          <w:sz w:val="20"/>
        </w:rPr>
        <w:t>Missing: iDEAL (Netherlands), SEPA DD (pan-European), Bancontact (Belgium), BLIK (Poland), GiroPay, Sofort</w:t>
      </w:r>
    </w:p>
    <w:p>
      <w:pPr>
        <w:pStyle w:val="ListBullet"/>
      </w:pPr>
      <w:r>
        <w:rPr>
          <w:rFonts w:ascii="Calibri" w:hAnsi="Calibri"/>
          <w:sz w:val="20"/>
        </w:rPr>
        <w:t>Note: Direct Debit exclusively in Germany. Zero bank debit options in 30+ other European markets.</w:t>
      </w:r>
    </w:p>
    <w:p>
      <w:r>
        <w:rPr>
          <w:rFonts w:ascii="Calibri" w:hAnsi="Calibri"/>
          <w:b/>
          <w:sz w:val="20"/>
        </w:rPr>
        <w:t>MARKET 3: Japan / APAC (JCB card acceptance signals market)</w:t>
      </w:r>
    </w:p>
    <w:p>
      <w:pPr>
        <w:pStyle w:val="ListBullet"/>
      </w:pPr>
      <w:r>
        <w:rPr>
          <w:rFonts w:ascii="Calibri" w:hAnsi="Calibri"/>
          <w:sz w:val="20"/>
        </w:rPr>
        <w:t>Accepted: Visa/MC/Amex, JCB (Japan only), Wire (contracted)</w:t>
      </w:r>
    </w:p>
    <w:p>
      <w:pPr>
        <w:pStyle w:val="ListBullet"/>
      </w:pPr>
      <w:r>
        <w:rPr>
          <w:rFonts w:ascii="Calibri" w:hAnsi="Calibri"/>
          <w:sz w:val="20"/>
        </w:rPr>
        <w:t>Missing: Konbini, PayPay, KakaoPay, LINE Pay, GrabPay, PromptPay</w:t>
      </w:r>
    </w:p>
    <w:p>
      <w:pPr>
        <w:pStyle w:val="ListBullet"/>
      </w:pPr>
      <w:r>
        <w:rPr>
          <w:rFonts w:ascii="Calibri" w:hAnsi="Calibri"/>
          <w:sz w:val="20"/>
        </w:rPr>
        <w:t>Note: JCB acceptance shows Japan focus, but no local methods. APAC enterprise market underserved.</w:t>
      </w:r>
    </w:p>
    <w:p>
      <w:r>
        <w:rPr>
          <w:rFonts w:ascii="Calibri" w:hAnsi="Calibri"/>
          <w:b/>
          <w:sz w:val="20"/>
        </w:rPr>
        <w:t>MARKET 4: Brazil / LATAM (growing enterprise cloud market)</w:t>
      </w:r>
    </w:p>
    <w:p>
      <w:pPr>
        <w:pStyle w:val="ListBullet"/>
      </w:pPr>
      <w:r>
        <w:rPr>
          <w:rFonts w:ascii="Calibri" w:hAnsi="Calibri"/>
          <w:sz w:val="20"/>
        </w:rPr>
        <w:t>Accepted: Visa/MC (cross-border)</w:t>
      </w:r>
    </w:p>
    <w:p>
      <w:pPr>
        <w:pStyle w:val="ListBullet"/>
      </w:pPr>
      <w:r>
        <w:rPr>
          <w:rFonts w:ascii="Calibri" w:hAnsi="Calibri"/>
          <w:sz w:val="20"/>
        </w:rPr>
        <w:t>Missing: Pix, Boleto, OXXO, SPEI, PSE</w:t>
      </w:r>
    </w:p>
    <w:p>
      <w:pPr>
        <w:pStyle w:val="ListBullet"/>
      </w:pPr>
      <w:r>
        <w:rPr>
          <w:rFonts w:ascii="Calibri" w:hAnsi="Calibri"/>
          <w:sz w:val="20"/>
        </w:rPr>
        <w:t>Note: Pix processes 70%+ of digital payments in Brazil. Card-only blocks LATAM expansion.</w:t>
      </w:r>
    </w:p>
    <w:p>
      <w:r>
        <w:rPr>
          <w:rFonts w:ascii="Calibri" w:hAnsi="Calibri"/>
          <w:b/>
          <w:sz w:val="20"/>
        </w:rPr>
        <w:t>MARKET 5: India / South Asia (enterprise digital transformation market)</w:t>
      </w:r>
    </w:p>
    <w:p>
      <w:pPr>
        <w:pStyle w:val="ListBullet"/>
      </w:pPr>
      <w:r>
        <w:rPr>
          <w:rFonts w:ascii="Calibri" w:hAnsi="Calibri"/>
          <w:sz w:val="20"/>
        </w:rPr>
        <w:t>Accepted: Visa/MC (cross-border)</w:t>
      </w:r>
    </w:p>
    <w:p>
      <w:pPr>
        <w:pStyle w:val="ListBullet"/>
      </w:pPr>
      <w:r>
        <w:rPr>
          <w:rFonts w:ascii="Calibri" w:hAnsi="Calibri"/>
          <w:sz w:val="20"/>
        </w:rPr>
        <w:t>Missing: UPI, RuPay, Paytm, NetBanking</w:t>
      </w:r>
    </w:p>
    <w:p>
      <w:pPr>
        <w:pStyle w:val="ListBullet"/>
      </w:pPr>
      <w:r>
        <w:rPr>
          <w:rFonts w:ascii="Calibri" w:hAnsi="Calibri"/>
          <w:sz w:val="20"/>
        </w:rPr>
        <w:t>Note: UPI handles 75%+ of Indian digital payments. Cross-border card declines common.</w:t>
      </w:r>
    </w:p>
    <w:p>
      <w:pPr>
        <w:pStyle w:val="Heading2"/>
      </w:pPr>
      <w:r>
        <w:rPr>
          <w:rFonts w:ascii="Calibri" w:hAnsi="Calibri"/>
          <w:color w:val="5B4CFF"/>
        </w:rPr>
        <w:t>Key meeting angles:</w:t>
      </w:r>
    </w:p>
    <w:p>
      <w:pPr>
        <w:pStyle w:val="ListBullet"/>
      </w:pPr>
      <w:r>
        <w:rPr>
          <w:rFonts w:ascii="Calibri" w:hAnsi="Calibri"/>
          <w:sz w:val="20"/>
        </w:rPr>
        <w:t>$1.18B revenue with $50K card ceiling | Forces high-value deals into slow wire/ACH workflows. Intelligent routing removes this bottleneck.</w:t>
      </w:r>
    </w:p>
    <w:p>
      <w:pPr>
        <w:pStyle w:val="ListBullet"/>
      </w:pPr>
      <w:r>
        <w:rPr>
          <w:rFonts w:ascii="Calibri" w:hAnsi="Calibri"/>
          <w:sz w:val="20"/>
        </w:rPr>
        <w:t>68% Fortune 500 penetration | Massive enterprise base with manual multi-currency reconciliation across 6 currencies</w:t>
      </w:r>
    </w:p>
    <w:p>
      <w:pPr>
        <w:pStyle w:val="ListBullet"/>
      </w:pPr>
      <w:r>
        <w:rPr>
          <w:rFonts w:ascii="Calibri" w:hAnsi="Calibri"/>
          <w:sz w:val="20"/>
        </w:rPr>
        <w:t>Germany-only Direct Debit | The only local method Box offers, excluding the entire rest of Europe from bank debit payments</w:t>
      </w:r>
    </w:p>
    <w:p>
      <w:pPr>
        <w:pStyle w:val="ListBullet"/>
      </w:pPr>
      <w:r>
        <w:rPr>
          <w:rFonts w:ascii="Calibri" w:hAnsi="Calibri"/>
          <w:sz w:val="20"/>
        </w:rPr>
        <w:t>No PayPal explicitly | Help docs confirm PayPal is not accepted. Locks out 435M+ global PayPal users from self-serve plans.</w:t>
      </w:r>
    </w:p>
    <w:p>
      <w:pPr>
        <w:pStyle w:val="ListBullet"/>
      </w:pPr>
      <w:r>
        <w:rPr>
          <w:rFonts w:ascii="Calibri" w:hAnsi="Calibri"/>
          <w:sz w:val="20"/>
        </w:rPr>
        <w:t>$1.469B RPO growing 21% | Remaining performance obligations signal strong renewal pipeline that payment optimization protects</w:t>
      </w:r>
    </w:p>
    <w:p>
      <w:pPr>
        <w:pStyle w:val="ListBullet"/>
      </w:pPr>
      <w:r>
        <w:rPr>
          <w:rFonts w:ascii="Calibri" w:hAnsi="Calibri"/>
          <w:sz w:val="20"/>
        </w:rPr>
        <w:t>$313M free cash flow | Profitable company with budget to invest in payment infrastructure modernization</w:t>
      </w:r>
    </w:p>
    <w:p>
      <w:pPr>
        <w:pStyle w:val="ListBullet"/>
      </w:pPr>
      <w:r>
        <w:rPr>
          <w:rFonts w:ascii="Calibri" w:hAnsi="Calibri"/>
          <w:sz w:val="20"/>
        </w:rPr>
        <w:t>Competitor pressure | Dropbox, Google Drive, Microsoft OneDrive, and SharePoint offer broader payment options</w:t>
      </w:r>
    </w:p>
    <w:p>
      <w:pPr>
        <w:pStyle w:val="Heading2"/>
      </w:pPr>
      <w:r>
        <w:rPr>
          <w:rFonts w:ascii="Calibri" w:hAnsi="Calibri"/>
          <w:color w:val="5B4CFF"/>
        </w:rPr>
        <w:t>Sources:</w:t>
      </w:r>
    </w:p>
    <w:p>
      <w:pPr>
        <w:pStyle w:val="ListBullet"/>
      </w:pPr>
      <w:r>
        <w:rPr>
          <w:rFonts w:ascii="Calibri" w:hAnsi="Calibri"/>
          <w:sz w:val="18"/>
        </w:rPr>
        <w:t>Box Support: Payment Methods Accepted (https://support.box.com/hc/en-us/articles/360044193453-Payment-Methods-Accepted-by-Box)</w:t>
      </w:r>
    </w:p>
    <w:p>
      <w:pPr>
        <w:pStyle w:val="ListBullet"/>
      </w:pPr>
      <w:r>
        <w:rPr>
          <w:rFonts w:ascii="Calibri" w:hAnsi="Calibri"/>
          <w:sz w:val="18"/>
        </w:rPr>
        <w:t>Box Support: Updating Credit Card (https://support.box.com/hc/en-us/articles/360043694254-Updating-your-Credit-Card-Information)</w:t>
      </w:r>
    </w:p>
    <w:p>
      <w:pPr>
        <w:pStyle w:val="ListBullet"/>
      </w:pPr>
      <w:r>
        <w:rPr>
          <w:rFonts w:ascii="Calibri" w:hAnsi="Calibri"/>
          <w:sz w:val="18"/>
        </w:rPr>
        <w:t>Box: About Us (https://www.box.com/about-us)</w:t>
      </w:r>
    </w:p>
    <w:p>
      <w:pPr>
        <w:pStyle w:val="ListBullet"/>
      </w:pPr>
      <w:r>
        <w:rPr>
          <w:rFonts w:ascii="Calibri" w:hAnsi="Calibri"/>
          <w:sz w:val="18"/>
        </w:rPr>
        <w:t>Box: Customers (https://www.box.com/customers)</w:t>
      </w:r>
    </w:p>
    <w:p>
      <w:pPr>
        <w:pStyle w:val="ListBullet"/>
      </w:pPr>
      <w:r>
        <w:rPr>
          <w:rFonts w:ascii="Calibri" w:hAnsi="Calibri"/>
          <w:sz w:val="18"/>
        </w:rPr>
        <w:t>Box: FAQ (https://www.box.com/about-us/faq)</w:t>
      </w:r>
    </w:p>
    <w:p>
      <w:pPr>
        <w:pStyle w:val="ListBullet"/>
      </w:pPr>
      <w:r>
        <w:rPr>
          <w:rFonts w:ascii="Calibri" w:hAnsi="Calibri"/>
          <w:sz w:val="18"/>
        </w:rPr>
        <w:t>Box Investor Relations: Q4 FY2025 Results (https://www.boxinvestorrelations.com/news-and-media/news/press-release-details/2025/Box-Reports-Fourth-Quarter-and-Fiscal-2025-Financial-Results/)</w:t>
      </w:r>
    </w:p>
    <w:p>
      <w:pPr>
        <w:pStyle w:val="ListBullet"/>
      </w:pPr>
      <w:r>
        <w:rPr>
          <w:rFonts w:ascii="Calibri" w:hAnsi="Calibri"/>
          <w:sz w:val="18"/>
        </w:rPr>
        <w:t>Box Investor Relations: Q3 FY2026 Results (https://www.boxinvestorrelations.com/news-and-media/news/press-release-details/2025/Box-Reports-Third-Quarter-Fiscal-2026-Financial-Results/)</w:t>
      </w:r>
    </w:p>
    <w:p>
      <w:pPr>
        <w:pStyle w:val="ListBullet"/>
      </w:pPr>
      <w:r>
        <w:rPr>
          <w:rFonts w:ascii="Calibri" w:hAnsi="Calibri"/>
          <w:sz w:val="18"/>
        </w:rPr>
        <w:t>Box Investor Relations: Q4 FY2026 Results (https://finance.yahoo.com/news/box-reports-fourth-quarter-fiscal-210500019.html)</w:t>
      </w:r>
    </w:p>
    <w:p>
      <w:pPr>
        <w:pStyle w:val="ListBullet"/>
      </w:pPr>
      <w:r>
        <w:rPr>
          <w:rFonts w:ascii="Calibri" w:hAnsi="Calibri"/>
          <w:sz w:val="18"/>
        </w:rPr>
        <w:t>StockAnalysis: BOX Revenue (https://stockanalysis.com/stocks/box/revenue/)</w:t>
      </w:r>
    </w:p>
    <w:p>
      <w:pPr>
        <w:pStyle w:val="ListBullet"/>
      </w:pPr>
      <w:r>
        <w:rPr>
          <w:rFonts w:ascii="Calibri" w:hAnsi="Calibri"/>
          <w:sz w:val="18"/>
        </w:rPr>
        <w:t>StockAnalysis: BOX Employees (https://stockanalysis.com/stocks/box/employees/)</w:t>
      </w:r>
    </w:p>
    <w:p>
      <w:pPr>
        <w:pStyle w:val="ListBullet"/>
      </w:pPr>
      <w:r>
        <w:rPr>
          <w:rFonts w:ascii="Calibri" w:hAnsi="Calibri"/>
          <w:sz w:val="18"/>
        </w:rPr>
        <w:t>Stock Titan: Box 10-K Annual Report (https://www.stocktitan.net/sec-filings/BOX/10-k-box-inc-files-annual-report-4a4b882ac9a5.html)</w:t>
      </w:r>
    </w:p>
    <w:p>
      <w:pPr>
        <w:pStyle w:val="ListBullet"/>
      </w:pPr>
      <w:r>
        <w:rPr>
          <w:rFonts w:ascii="Calibri" w:hAnsi="Calibri"/>
          <w:sz w:val="18"/>
        </w:rPr>
        <w:t>MacroTrends: Box Revenue (https://www.macrotrends.net/stocks/charts/BOX/box/revenue)</w:t>
      </w:r>
    </w:p>
    <w:p>
      <w:pPr>
        <w:pStyle w:val="ListBullet"/>
      </w:pPr>
      <w:r>
        <w:rPr>
          <w:rFonts w:ascii="Calibri" w:hAnsi="Calibri"/>
          <w:sz w:val="18"/>
        </w:rPr>
        <w:t>Brandfetch: Box Logo (https://brandfetch.com/box.com)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