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5B4CFF"/>
          <w:sz w:val="40"/>
        </w:rPr>
        <w:t>FRESHBOOKS | Stripe Sessions Research</w:t>
      </w:r>
    </w:p>
    <w:p>
      <w:pPr>
        <w:spacing w:after="80"/>
        <w:jc w:val="center"/>
      </w:pPr>
      <w:r>
        <w:rPr>
          <w:rFonts w:ascii="Calibri" w:hAnsi="Calibri"/>
          <w:b w:val="0"/>
          <w:color w:val="000000"/>
          <w:sz w:val="24"/>
        </w:rPr>
        <w:t>SS Database Format</w:t>
      </w:r>
    </w:p>
    <w:p>
      <w:pPr>
        <w:spacing w:after="240"/>
        <w:jc w:val="center"/>
      </w:pPr>
      <w:r>
        <w:rPr>
          <w:rFonts w:ascii="Calibri" w:hAnsi="Calibri"/>
          <w:b w:val="0"/>
          <w:color w:val="666666"/>
          <w:sz w:val="20"/>
        </w:rPr>
        <w:t>Generated: 2026-04-21</w:t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COMPANY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Logo URL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https://upload.wikimedia.org/wikipedia/commons/e/e3/FreshBooks_Cloud_Accounting_Logo.svg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Nombre merchant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FreshBooks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PAIN 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Multi-Gateway Sprawl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Stripe, PayPal, Braintree, and Authorize.Net operate as disconnected gateways with no orchestration. Each has separate fees, dashboards, and settlement timelines across 160+ countries.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Limited Int'l APMs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Outside US/CA/UK/EU, FreshBooks offers only credit cards via Stripe. No Pix for Brazil, no UPI for India, no OXXO for Mexico despite acquisitions in Germany and Mexico.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Legacy WePay Migration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WePay shut down July 2024; all cards migrated to Stripe by Jan 2025. Token migration risks include orphaned payment methods and failed recurring invoice charges.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Cross-Border Decline Rate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FreshBooks invoices accepted in 195+ countries and 135+ currencies, but most markets use cross-border Stripe acquiring. International card declines compound for SMB clients.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Cash Method Blind Spots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Pain Point 5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FastBill (Germany) and Facturama (Mexico) acquisitions expand reach, but no Giropay, SOFORT, OXXO, or SPEI confirmed. Local clients invoice in local markets without local rails.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PSP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 (FreshBooks Payments)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PayPal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Stripe Standard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PSP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Braintree</w:t>
            </w:r>
          </w:p>
        </w:tc>
      </w:tr>
    </w:tbl>
    <w:p/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1: MISSING LOCAL METHODS (BLIND SPOTS)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Pix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2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UPI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3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OXXO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4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SPEI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5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Giropay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6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BLIK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7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iDEAL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8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M-Pesa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9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GCash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Local Method 10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Konbini</w:t>
            </w:r>
          </w:p>
        </w:tc>
      </w:tr>
    </w:tbl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SLIDE 2: YUNO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Smart Routing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1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Per-transaction routing across Stripe, PayPal, and Braintree by client location, card BIN, and currency. With 30M+ users in 160+ countries, routing each invoice payment to the best gateway per market delivers 3 to 10% approval uplift for SMB clients.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Failover &amp; Retries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2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Automatic cascade across FreshBooks' multi-gateway stack. When Stripe declines an invoice payment, Yuno reroutes to PayPal or Braintree in milliseconds. Up to 50% recovery on failed invoice payments. Critical for recurring billing where failed charges cause SMB cash flow gaps.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Local Payment Methods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3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Activates local payment methods for FreshBooks' acquired markets: Giropay in Germany (FastBill), OXXO and SPEI in Mexico (Facturama), Pix in Brazil, UPI in India. One API, 1,000+ methods. SMBs in 160+ countries can pay invoices with local methods.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Unified Orchestration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Yuno Cap 4 Description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One dashboard unifying Stripe, PayPal, Braintree, and Authorize.Net under a single reconciliation layer. Eliminates multi-gateway accounting complexity for 30M+ users. NOVA AI recovers 75% of failed invoice payments. Instant settlement visibility for SMB cash flow.</w:t>
            </w:r>
          </w:p>
        </w:tc>
      </w:tr>
    </w:tbl>
    <w:p/>
    <w:p>
      <w:r>
        <w:br w:type="page"/>
      </w:r>
    </w:p>
    <w:p>
      <w:pPr>
        <w:spacing w:after="160"/>
        <w:jc w:val="left"/>
      </w:pPr>
      <w:r>
        <w:rPr>
          <w:rFonts w:ascii="Calibri" w:hAnsi="Calibri"/>
          <w:b/>
          <w:color w:val="5B4CFF"/>
          <w:sz w:val="28"/>
        </w:rPr>
        <w:t>RESEARCH BACKING</w:t>
      </w:r>
    </w:p>
    <w:p>
      <w:pPr>
        <w:spacing w:after="120"/>
        <w:jc w:val="left"/>
      </w:pPr>
      <w:r>
        <w:rPr>
          <w:rFonts w:ascii="Calibri" w:hAnsi="Calibri"/>
          <w:b/>
          <w:color w:val="5B4CFF"/>
          <w:sz w:val="26"/>
        </w:rPr>
        <w:t>RESEARCH BACKING | Key Facts for the Meeting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FreshBooks at a glance:</w:t>
      </w:r>
    </w:p>
    <w:p>
      <w:pPr>
        <w:pStyle w:val="ListBullet"/>
      </w:pPr>
      <w:r>
        <w:rPr>
          <w:rFonts w:ascii="Calibri" w:hAnsi="Calibri"/>
          <w:sz w:val="20"/>
        </w:rPr>
        <w:t>Founded: 2003, HQ: Toronto, Canada (legal entity: 2ndSite Inc.)</w:t>
      </w:r>
    </w:p>
    <w:p>
      <w:pPr>
        <w:pStyle w:val="ListBullet"/>
      </w:pPr>
      <w:r>
        <w:rPr>
          <w:rFonts w:ascii="Calibri" w:hAnsi="Calibri"/>
          <w:sz w:val="20"/>
        </w:rPr>
        <w:t>Valuation: $1B+ (August 2021, Series E)</w:t>
      </w:r>
    </w:p>
    <w:p>
      <w:pPr>
        <w:pStyle w:val="ListBullet"/>
      </w:pPr>
      <w:r>
        <w:rPr>
          <w:rFonts w:ascii="Calibri" w:hAnsi="Calibri"/>
          <w:sz w:val="20"/>
        </w:rPr>
        <w:t>Revenue: estimated $150M to $750M (sources conflict; private company)</w:t>
      </w:r>
    </w:p>
    <w:p>
      <w:pPr>
        <w:pStyle w:val="ListBullet"/>
      </w:pPr>
      <w:r>
        <w:rPr>
          <w:rFonts w:ascii="Calibri" w:hAnsi="Calibri"/>
          <w:sz w:val="20"/>
        </w:rPr>
        <w:t>Latest funding: $125M debt facility (March 2025, Morgan Stanley Investment Management)</w:t>
      </w:r>
    </w:p>
    <w:p>
      <w:pPr>
        <w:pStyle w:val="ListBullet"/>
      </w:pPr>
      <w:r>
        <w:rPr>
          <w:rFonts w:ascii="Calibri" w:hAnsi="Calibri"/>
          <w:sz w:val="20"/>
        </w:rPr>
        <w:t>Users: 30M+ worldwide across 160+ countries</w:t>
      </w:r>
    </w:p>
    <w:p>
      <w:pPr>
        <w:pStyle w:val="ListBullet"/>
      </w:pPr>
      <w:r>
        <w:rPr>
          <w:rFonts w:ascii="Calibri" w:hAnsi="Calibri"/>
          <w:sz w:val="20"/>
        </w:rPr>
        <w:t>Employees: ~400 to 500</w:t>
      </w:r>
    </w:p>
    <w:p>
      <w:pPr>
        <w:pStyle w:val="ListBullet"/>
      </w:pPr>
      <w:r>
        <w:rPr>
          <w:rFonts w:ascii="Calibri" w:hAnsi="Calibri"/>
          <w:sz w:val="20"/>
        </w:rPr>
        <w:t>Offices: Toronto (HQ), Raleigh NC (US), Amsterdam (Netherlands), Zagreb (Croatia)</w:t>
      </w:r>
    </w:p>
    <w:p>
      <w:pPr>
        <w:pStyle w:val="ListBullet"/>
      </w:pPr>
      <w:r>
        <w:rPr>
          <w:rFonts w:ascii="Calibri" w:hAnsi="Calibri"/>
          <w:sz w:val="20"/>
        </w:rPr>
        <w:t>Acquisitions: FastBill (Germany, Oct 2021), Facturama (Mexico, Sept 2020)</w:t>
      </w:r>
    </w:p>
    <w:p>
      <w:pPr>
        <w:pStyle w:val="ListBullet"/>
      </w:pPr>
      <w:r>
        <w:rPr>
          <w:rFonts w:ascii="Calibri" w:hAnsi="Calibri"/>
          <w:sz w:val="20"/>
        </w:rPr>
        <w:t>Products: Invoicing, Accounting, Expenses, Time Tracking, Payments, Payroll, Projects</w:t>
      </w:r>
    </w:p>
    <w:p>
      <w:pPr>
        <w:pStyle w:val="ListBullet"/>
      </w:pPr>
      <w:r>
        <w:rPr>
          <w:rFonts w:ascii="Calibri" w:hAnsi="Calibri"/>
          <w:sz w:val="20"/>
        </w:rPr>
        <w:t>Barclays partnership: free FreshBooks accounts for UK small businesses during tax season</w:t>
      </w:r>
    </w:p>
    <w:p>
      <w:pPr>
        <w:pStyle w:val="ListBullet"/>
      </w:pPr>
      <w:r>
        <w:rPr>
          <w:rFonts w:ascii="Calibri" w:hAnsi="Calibri"/>
          <w:sz w:val="20"/>
        </w:rPr>
        <w:t>Target market: service-based SMBs (freelancers, consultants, agencies)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Stack:</w:t>
      </w:r>
    </w:p>
    <w:p>
      <w:pPr>
        <w:pStyle w:val="ListBullet"/>
      </w:pPr>
      <w:r>
        <w:rPr>
          <w:rFonts w:ascii="Calibri" w:hAnsi="Calibri"/>
          <w:sz w:val="20"/>
        </w:rPr>
        <w:t>Stripe (FreshBooks Payments): primary processor for US and CA. Replaced WePay in 2024. Credit cards, debit cards, ACH, Apple Pay, Google Pay, Affirm, Afterpay (US only)</w:t>
      </w:r>
    </w:p>
    <w:p>
      <w:pPr>
        <w:pStyle w:val="ListBullet"/>
      </w:pPr>
      <w:r>
        <w:rPr>
          <w:rFonts w:ascii="Calibri" w:hAnsi="Calibri"/>
          <w:sz w:val="20"/>
        </w:rPr>
        <w:t>Stripe Standard: international integration supporting SEPA DD (EU), BACS DD (UK), PAD (Canada)</w:t>
      </w:r>
    </w:p>
    <w:p>
      <w:pPr>
        <w:pStyle w:val="ListBullet"/>
      </w:pPr>
      <w:r>
        <w:rPr>
          <w:rFonts w:ascii="Calibri" w:hAnsi="Calibri"/>
          <w:sz w:val="20"/>
        </w:rPr>
        <w:t>PayPal: global standalone gateway</w:t>
      </w:r>
    </w:p>
    <w:p>
      <w:pPr>
        <w:pStyle w:val="ListBullet"/>
      </w:pPr>
      <w:r>
        <w:rPr>
          <w:rFonts w:ascii="Calibri" w:hAnsi="Calibri"/>
          <w:sz w:val="20"/>
        </w:rPr>
        <w:t>Braintree: supported gateway option for US/CA</w:t>
      </w:r>
    </w:p>
    <w:p>
      <w:pPr>
        <w:pStyle w:val="ListBullet"/>
      </w:pPr>
      <w:r>
        <w:rPr>
          <w:rFonts w:ascii="Calibri" w:hAnsi="Calibri"/>
          <w:sz w:val="20"/>
        </w:rPr>
        <w:t>Authorize.Net: supported gateway with +1% surcharge</w:t>
      </w:r>
    </w:p>
    <w:p>
      <w:pPr>
        <w:pStyle w:val="ListBullet"/>
      </w:pPr>
      <w:r>
        <w:rPr>
          <w:rFonts w:ascii="Calibri" w:hAnsi="Calibri"/>
          <w:sz w:val="20"/>
        </w:rPr>
        <w:t>WePay/Chase: LEGACY, shut down July 2024, fully migrated to Stripe by Jan 2025</w:t>
      </w:r>
    </w:p>
    <w:p>
      <w:pPr>
        <w:pStyle w:val="ListBullet"/>
      </w:pPr>
      <w:r>
        <w:rPr>
          <w:rFonts w:ascii="Calibri" w:hAnsi="Calibri"/>
          <w:sz w:val="20"/>
        </w:rPr>
        <w:t>No third-party payment orchestrator detected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Confirmed Payment Methods:</w:t>
      </w:r>
    </w:p>
    <w:p>
      <w:pPr>
        <w:pStyle w:val="ListBullet"/>
      </w:pPr>
      <w:r>
        <w:rPr>
          <w:rFonts w:ascii="Calibri" w:hAnsi="Calibri"/>
          <w:sz w:val="20"/>
        </w:rPr>
        <w:t>Credit/debit cards (all major brands)</w:t>
      </w:r>
    </w:p>
    <w:p>
      <w:pPr>
        <w:pStyle w:val="ListBullet"/>
      </w:pPr>
      <w:r>
        <w:rPr>
          <w:rFonts w:ascii="Calibri" w:hAnsi="Calibri"/>
          <w:sz w:val="20"/>
        </w:rPr>
        <w:t>ACH bank transfer (US)</w:t>
      </w:r>
    </w:p>
    <w:p>
      <w:pPr>
        <w:pStyle w:val="ListBullet"/>
      </w:pPr>
      <w:r>
        <w:rPr>
          <w:rFonts w:ascii="Calibri" w:hAnsi="Calibri"/>
          <w:sz w:val="20"/>
        </w:rPr>
        <w:t>Apple Pay, Google Pay (US/CA)</w:t>
      </w:r>
    </w:p>
    <w:p>
      <w:pPr>
        <w:pStyle w:val="ListBullet"/>
      </w:pPr>
      <w:r>
        <w:rPr>
          <w:rFonts w:ascii="Calibri" w:hAnsi="Calibri"/>
          <w:sz w:val="20"/>
        </w:rPr>
        <w:t>SEPA Direct Debit (EU, via Stripe Standard)</w:t>
      </w:r>
    </w:p>
    <w:p>
      <w:pPr>
        <w:pStyle w:val="ListBullet"/>
      </w:pPr>
      <w:r>
        <w:rPr>
          <w:rFonts w:ascii="Calibri" w:hAnsi="Calibri"/>
          <w:sz w:val="20"/>
        </w:rPr>
        <w:t>BACS Direct Debit (UK, via Stripe Standard)</w:t>
      </w:r>
    </w:p>
    <w:p>
      <w:pPr>
        <w:pStyle w:val="ListBullet"/>
      </w:pPr>
      <w:r>
        <w:rPr>
          <w:rFonts w:ascii="Calibri" w:hAnsi="Calibri"/>
          <w:sz w:val="20"/>
        </w:rPr>
        <w:t>PAD Pre-Authorized Debit (Canada, via Stripe Standard)</w:t>
      </w:r>
    </w:p>
    <w:p>
      <w:pPr>
        <w:pStyle w:val="ListBullet"/>
      </w:pPr>
      <w:r>
        <w:rPr>
          <w:rFonts w:ascii="Calibri" w:hAnsi="Calibri"/>
          <w:sz w:val="20"/>
        </w:rPr>
        <w:t>PayPal (global)</w:t>
      </w:r>
    </w:p>
    <w:p>
      <w:pPr>
        <w:pStyle w:val="ListBullet"/>
      </w:pPr>
      <w:r>
        <w:rPr>
          <w:rFonts w:ascii="Calibri" w:hAnsi="Calibri"/>
          <w:sz w:val="20"/>
        </w:rPr>
        <w:t>Affirm BNPL (US)</w:t>
      </w:r>
    </w:p>
    <w:p>
      <w:pPr>
        <w:pStyle w:val="ListBullet"/>
      </w:pPr>
      <w:r>
        <w:rPr>
          <w:rFonts w:ascii="Calibri" w:hAnsi="Calibri"/>
          <w:sz w:val="20"/>
        </w:rPr>
        <w:t>Afterpay (US only)</w:t>
      </w:r>
    </w:p>
    <w:p>
      <w:pPr>
        <w:pStyle w:val="ListBullet"/>
      </w:pPr>
      <w:r>
        <w:rPr>
          <w:rFonts w:ascii="Calibri" w:hAnsi="Calibri"/>
          <w:sz w:val="20"/>
        </w:rPr>
        <w:t>Invoicing in 135+ currencies across 195+ countries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Top 5 Markets Gap Analysis:</w:t>
      </w:r>
    </w:p>
    <w:p>
      <w:pPr>
        <w:spacing w:after="60"/>
      </w:pPr>
      <w:r>
        <w:rPr>
          <w:rFonts w:ascii="Calibri" w:hAnsi="Calibri"/>
          <w:sz w:val="20"/>
        </w:rPr>
        <w:t>MARKET 1: United States (~40 to 50% of traffic)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Visa/MC/Amex, ACH, Apple Pay, Google Pay, Affirm, Afterpay, PayPal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Venmo (standalone), Cash App Pay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Comprehensive US coverage. Minor gaps in alternative wallets.</w:t>
      </w:r>
    </w:p>
    <w:p>
      <w:pPr>
        <w:spacing w:after="60"/>
      </w:pPr>
      <w:r>
        <w:rPr>
          <w:rFonts w:ascii="Calibri" w:hAnsi="Calibri"/>
          <w:sz w:val="20"/>
        </w:rPr>
        <w:t>MARKET 2: Canada (~15 to 20% of traffic, HQ)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Visa/MC, PAD, Apple Pay, Google Pay, PayPal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Interac e-Transfer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Interac is Canada's dominant P2P/B2B payment rail. Adding it would accelerate invoice collection.</w:t>
      </w:r>
    </w:p>
    <w:p>
      <w:pPr>
        <w:spacing w:after="60"/>
      </w:pPr>
      <w:r>
        <w:rPr>
          <w:rFonts w:ascii="Calibri" w:hAnsi="Calibri"/>
          <w:sz w:val="20"/>
        </w:rPr>
        <w:t>MARKET 3: United Kingdom (~5 to 8% of traffic, Barclays partnership)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Visa/MC, BACS Direct Debit, PayPal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Open Banking (PayByBank), Faster Payments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Open Banking reduces card fees and increases instant settlement for UK SMB invoices.</w:t>
      </w:r>
    </w:p>
    <w:p>
      <w:pPr>
        <w:spacing w:after="60"/>
      </w:pPr>
      <w:r>
        <w:rPr>
          <w:rFonts w:ascii="Calibri" w:hAnsi="Calibri"/>
          <w:sz w:val="20"/>
        </w:rPr>
        <w:t>MARKET 4: Germany (~2 to 4% of traffic, FastBill acquisition)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Visa/MC, SEPA Direct Debit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Giropay, SOFORT/Klarna, EPS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FastBill serves German SMBs but no German-specific local rails beyond SEPA confirmed.</w:t>
      </w:r>
    </w:p>
    <w:p>
      <w:pPr>
        <w:spacing w:after="60"/>
      </w:pPr>
      <w:r>
        <w:rPr>
          <w:rFonts w:ascii="Calibri" w:hAnsi="Calibri"/>
          <w:sz w:val="20"/>
        </w:rPr>
        <w:t>MARKET 5: Mexico (Facturama acquisition)</w:t>
      </w:r>
    </w:p>
    <w:p>
      <w:pPr>
        <w:spacing w:after="40"/>
        <w:ind w:left="567"/>
      </w:pPr>
      <w:r>
        <w:rPr>
          <w:rFonts w:ascii="Calibri" w:hAnsi="Calibri"/>
          <w:sz w:val="18"/>
        </w:rPr>
        <w:t>Currently offer: Credit/debit cards, PayPal</w:t>
      </w:r>
    </w:p>
    <w:p>
      <w:pPr>
        <w:spacing w:after="40"/>
        <w:ind w:left="567"/>
      </w:pPr>
      <w:r>
        <w:rPr>
          <w:rFonts w:ascii="Calibri" w:hAnsi="Calibri"/>
          <w:sz w:val="18"/>
        </w:rPr>
        <w:t>Missing: OXXO, SPEI, CoDi</w:t>
      </w:r>
    </w:p>
    <w:p>
      <w:pPr>
        <w:spacing w:after="40"/>
        <w:ind w:left="567"/>
      </w:pPr>
      <w:r>
        <w:rPr>
          <w:rFonts w:ascii="Calibri" w:hAnsi="Calibri"/>
          <w:sz w:val="18"/>
        </w:rPr>
        <w:t>Impact: Facturama handles Mexican e-invoicing but no local payment rails for collecting invoice payments.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Payment complaint evidence:</w:t>
      </w:r>
    </w:p>
    <w:p>
      <w:pPr>
        <w:pStyle w:val="ListBullet"/>
      </w:pPr>
      <w:r>
        <w:rPr>
          <w:rFonts w:ascii="Calibri" w:hAnsi="Calibri"/>
          <w:sz w:val="20"/>
        </w:rPr>
        <w:t>Capterra/NerdWallet: bank feed connection failures and duplicate transactions among top complaints</w:t>
      </w:r>
    </w:p>
    <w:p>
      <w:pPr>
        <w:pStyle w:val="ListBullet"/>
      </w:pPr>
      <w:r>
        <w:rPr>
          <w:rFonts w:ascii="Calibri" w:hAnsi="Calibri"/>
          <w:sz w:val="20"/>
        </w:rPr>
        <w:t>Multiple reviews cite difficulty managing multi-gateway settings</w:t>
      </w:r>
    </w:p>
    <w:p>
      <w:pPr>
        <w:pStyle w:val="ListBullet"/>
      </w:pPr>
      <w:r>
        <w:rPr>
          <w:rFonts w:ascii="Calibri" w:hAnsi="Calibri"/>
          <w:sz w:val="20"/>
        </w:rPr>
        <w:t>WePay to Stripe migration caused confusion about stored payment methods (2024 to 2025)</w:t>
      </w:r>
    </w:p>
    <w:p>
      <w:pPr>
        <w:pStyle w:val="ListBullet"/>
      </w:pPr>
      <w:r>
        <w:rPr>
          <w:rFonts w:ascii="Calibri" w:hAnsi="Calibri"/>
          <w:sz w:val="20"/>
        </w:rPr>
        <w:t>International users report higher decline rates on cross-border transactions</w:t>
      </w:r>
    </w:p>
    <w:p>
      <w:pPr>
        <w:pStyle w:val="ListBullet"/>
      </w:pPr>
      <w:r>
        <w:rPr>
          <w:rFonts w:ascii="Calibri" w:hAnsi="Calibri"/>
          <w:sz w:val="20"/>
        </w:rPr>
        <w:t>CardFellow review notes Authorize.Net integration adds +1% surcharge, creating hidden fee complaints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Key meeting angles:</w:t>
      </w:r>
    </w:p>
    <w:p>
      <w:pPr>
        <w:spacing w:after="60"/>
      </w:pPr>
      <w:r>
        <w:rPr>
          <w:rFonts w:ascii="Calibri" w:hAnsi="Calibri"/>
          <w:sz w:val="20"/>
        </w:rPr>
        <w:t>1. **Multi-gateway sprawl without orchestration** | Stripe + PayPal + Braintree + Authorize.Net with no unified routing or failover</w:t>
      </w:r>
    </w:p>
    <w:p>
      <w:pPr>
        <w:spacing w:after="60"/>
      </w:pPr>
      <w:r>
        <w:rPr>
          <w:rFonts w:ascii="Calibri" w:hAnsi="Calibri"/>
          <w:sz w:val="20"/>
        </w:rPr>
        <w:t>2. **WePay migration aftermath** | Recent PSP migration (2024) shows willingness to evolve payment stack; orchestration is the logical next step</w:t>
      </w:r>
    </w:p>
    <w:p>
      <w:pPr>
        <w:spacing w:after="60"/>
      </w:pPr>
      <w:r>
        <w:rPr>
          <w:rFonts w:ascii="Calibri" w:hAnsi="Calibri"/>
          <w:sz w:val="20"/>
        </w:rPr>
        <w:t>3. **Acquired markets lack local rails** | FastBill (Germany) and Facturama (Mexico) serve local SMBs but with no local APMs like Giropay or OXXO</w:t>
      </w:r>
    </w:p>
    <w:p>
      <w:pPr>
        <w:spacing w:after="60"/>
      </w:pPr>
      <w:r>
        <w:rPr>
          <w:rFonts w:ascii="Calibri" w:hAnsi="Calibri"/>
          <w:sz w:val="20"/>
        </w:rPr>
        <w:t>4. **30M+ users, 160+ countries** | Scale demands automated routing across gateways, not manual per-gateway configuration</w:t>
      </w:r>
    </w:p>
    <w:p>
      <w:pPr>
        <w:spacing w:after="60"/>
      </w:pPr>
      <w:r>
        <w:rPr>
          <w:rFonts w:ascii="Calibri" w:hAnsi="Calibri"/>
          <w:sz w:val="20"/>
        </w:rPr>
        <w:t>5. **SMB cash flow dependency** | Failed invoice payments directly impact freelancer and SMB cash flow. Recovery rates matter more here than in enterprise</w:t>
      </w:r>
    </w:p>
    <w:p>
      <w:pPr>
        <w:spacing w:after="60"/>
      </w:pPr>
      <w:r>
        <w:rPr>
          <w:rFonts w:ascii="Calibri" w:hAnsi="Calibri"/>
          <w:sz w:val="20"/>
        </w:rPr>
        <w:t>6. **Barclays UK partnership** | UK expansion with Barclays creates opportunity to add Open Banking payment rails</w:t>
      </w:r>
    </w:p>
    <w:p>
      <w:pPr>
        <w:spacing w:after="60"/>
      </w:pPr>
      <w:r>
        <w:rPr>
          <w:rFonts w:ascii="Calibri" w:hAnsi="Calibri"/>
          <w:sz w:val="20"/>
        </w:rPr>
        <w:t>7. **$125M debt facility (March 2025)** | Fresh capital for growth; payment infrastructure optimization is a high-leverage investment</w:t>
      </w:r>
    </w:p>
    <w:p>
      <w:pPr>
        <w:spacing w:after="80"/>
        <w:jc w:val="left"/>
      </w:pPr>
      <w:r>
        <w:rPr>
          <w:rFonts w:ascii="Calibri" w:hAnsi="Calibri"/>
          <w:b/>
          <w:color w:val="000000"/>
          <w:sz w:val="22"/>
        </w:rPr>
        <w:t>Sources:</w:t>
      </w:r>
    </w:p>
    <w:p>
      <w:pPr>
        <w:pStyle w:val="ListBullet"/>
      </w:pPr>
      <w:r>
        <w:rPr>
          <w:rFonts w:ascii="Calibri" w:hAnsi="Calibri"/>
          <w:sz w:val="20"/>
        </w:rPr>
        <w:t>[FreshBooks Support: Stripe Payments](https://support.freshbooks.com/hc/en-us/articles/24999759052429)</w:t>
      </w:r>
    </w:p>
    <w:p>
      <w:pPr>
        <w:pStyle w:val="ListBullet"/>
      </w:pPr>
      <w:r>
        <w:rPr>
          <w:rFonts w:ascii="Calibri" w:hAnsi="Calibri"/>
          <w:sz w:val="20"/>
        </w:rPr>
        <w:t>[FreshBooks Support: Stripe Standard](https://support.freshbooks.com/hc/en-us/articles/216579858)</w:t>
      </w:r>
    </w:p>
    <w:p>
      <w:pPr>
        <w:pStyle w:val="ListBullet"/>
      </w:pPr>
      <w:r>
        <w:rPr>
          <w:rFonts w:ascii="Calibri" w:hAnsi="Calibri"/>
          <w:sz w:val="20"/>
        </w:rPr>
        <w:t>[FreshBooks Support: WePay to Stripe Migration](https://support.freshbooks.com/hc/en-us/articles/22060878896013)</w:t>
      </w:r>
    </w:p>
    <w:p>
      <w:pPr>
        <w:pStyle w:val="ListBullet"/>
      </w:pPr>
      <w:r>
        <w:rPr>
          <w:rFonts w:ascii="Calibri" w:hAnsi="Calibri"/>
          <w:sz w:val="20"/>
        </w:rPr>
        <w:t>[FreshBooks Support: Online Payment Settings](https://support.freshbooks.com/hc/en-us/articles/217544777)</w:t>
      </w:r>
    </w:p>
    <w:p>
      <w:pPr>
        <w:pStyle w:val="ListBullet"/>
      </w:pPr>
      <w:r>
        <w:rPr>
          <w:rFonts w:ascii="Calibri" w:hAnsi="Calibri"/>
          <w:sz w:val="20"/>
        </w:rPr>
        <w:t>[FreshBooks Support: Stripe Standard Fees](https://support.freshbooks.com/hc/en-us/articles/360035569211)</w:t>
      </w:r>
    </w:p>
    <w:p>
      <w:pPr>
        <w:pStyle w:val="ListBullet"/>
      </w:pPr>
      <w:r>
        <w:rPr>
          <w:rFonts w:ascii="Calibri" w:hAnsi="Calibri"/>
          <w:sz w:val="20"/>
        </w:rPr>
        <w:t>[FreshBooks Partner: Stripe](https://www.freshbooks.com/partner/stripe)</w:t>
      </w:r>
    </w:p>
    <w:p>
      <w:pPr>
        <w:pStyle w:val="ListBullet"/>
      </w:pPr>
      <w:r>
        <w:rPr>
          <w:rFonts w:ascii="Calibri" w:hAnsi="Calibri"/>
          <w:sz w:val="20"/>
        </w:rPr>
        <w:t>[FreshBooks Press: Releases](https://www.freshbooks.com/press/releases)</w:t>
      </w:r>
    </w:p>
    <w:p>
      <w:pPr>
        <w:pStyle w:val="ListBullet"/>
      </w:pPr>
      <w:r>
        <w:rPr>
          <w:rFonts w:ascii="Calibri" w:hAnsi="Calibri"/>
          <w:sz w:val="20"/>
        </w:rPr>
        <w:t>[FreshBooks Press: Facturama Acquisition](https://www.freshbooks.com/press/releases/freshbooks-acquires-mexico-based-e-invoicing-company-facturama-further-expanding-its-international-presence)</w:t>
      </w:r>
    </w:p>
    <w:p>
      <w:pPr>
        <w:pStyle w:val="ListBullet"/>
      </w:pPr>
      <w:r>
        <w:rPr>
          <w:rFonts w:ascii="Calibri" w:hAnsi="Calibri"/>
          <w:sz w:val="20"/>
        </w:rPr>
        <w:t>[BetaKit: FreshBooks Stripe Partnership](https://betakit.com/freshbooks-expands-stripe-partnership-with-new-embedded-payments-offering/)</w:t>
      </w:r>
    </w:p>
    <w:p>
      <w:pPr>
        <w:pStyle w:val="ListBullet"/>
      </w:pPr>
      <w:r>
        <w:rPr>
          <w:rFonts w:ascii="Calibri" w:hAnsi="Calibri"/>
          <w:sz w:val="20"/>
        </w:rPr>
        <w:t>[BetaKit: FastBill Acquisition](https://betakit.com/freshbooks-acquires-germanys-fastbill-as-it-pursues-global-expansion/)</w:t>
      </w:r>
    </w:p>
    <w:p>
      <w:pPr>
        <w:pStyle w:val="ListBullet"/>
      </w:pPr>
      <w:r>
        <w:rPr>
          <w:rFonts w:ascii="Calibri" w:hAnsi="Calibri"/>
          <w:sz w:val="20"/>
        </w:rPr>
        <w:t>[CardFellow: FreshBooks Payments Review](https://www.cardfellow.com/blog/freshbooks-payments-review)</w:t>
      </w:r>
    </w:p>
    <w:p>
      <w:pPr>
        <w:pStyle w:val="ListBullet"/>
      </w:pPr>
      <w:r>
        <w:rPr>
          <w:rFonts w:ascii="Calibri" w:hAnsi="Calibri"/>
          <w:sz w:val="20"/>
        </w:rPr>
        <w:t>[TechCrunch: FreshBooks $1B Valuation](https://techcrunch.com/2021/08/09/freshbooks-secures-130-75m/)</w:t>
      </w:r>
    </w:p>
    <w:p>
      <w:pPr>
        <w:pStyle w:val="ListBullet"/>
      </w:pPr>
      <w:r>
        <w:rPr>
          <w:rFonts w:ascii="Calibri" w:hAnsi="Calibri"/>
          <w:sz w:val="20"/>
        </w:rPr>
        <w:t>[Tracxn: FreshBooks Profile](https://tracxn.com/d/companies/freshbooks/__FodOJN0CRJhaeEA3kDg_7oh4plQTHkBD2AVaxCN8TKw)</w:t>
      </w:r>
    </w:p>
    <w:p>
      <w:pPr>
        <w:pStyle w:val="ListBullet"/>
      </w:pPr>
      <w:r>
        <w:rPr>
          <w:rFonts w:ascii="Calibri" w:hAnsi="Calibri"/>
          <w:sz w:val="20"/>
        </w:rPr>
        <w:t>[ExpandedRamblings: FreshBooks Statistics](https://expandedramblings.com/index.php/freshbooks/)</w:t>
      </w:r>
    </w:p>
    <w:p>
      <w:pPr>
        <w:pStyle w:val="ListBullet"/>
      </w:pPr>
      <w:r>
        <w:rPr>
          <w:rFonts w:ascii="Calibri" w:hAnsi="Calibri"/>
          <w:sz w:val="20"/>
        </w:rPr>
        <w:t>[Capterra: FreshBooks Reviews](https://www.capterra.com/p/142390/FreshBooks/reviews/)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