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5B4CFF"/>
        </w:rPr>
        <w:t>GOAT | Stripe Sessions Research</w:t>
      </w:r>
    </w:p>
    <w:p>
      <w:r>
        <w:rPr>
          <w:i/>
        </w:rPr>
        <w:t>Generated: 2026-04-21</w:t>
      </w:r>
    </w:p>
    <w:p>
      <w:pPr>
        <w:pStyle w:val="Heading2"/>
      </w:pPr>
      <w:r>
        <w:rPr>
          <w:rFonts w:ascii="Calibri" w:hAnsi="Calibri"/>
          <w:color w:val="5B4CFF"/>
        </w:rPr>
        <w:t>DATABASE FIELDS: GOAT</w:t>
      </w:r>
    </w:p>
    <w:p>
      <w:pPr>
        <w:shd w:fill="F2F2F2" w:val="clear"/>
      </w:pPr>
      <w:r>
        <w:rPr>
          <w:rFonts w:ascii="Calibri" w:hAnsi="Calibri"/>
          <w:b/>
          <w:sz w:val="20"/>
        </w:rPr>
        <w:t xml:space="preserve">Logo: </w:t>
      </w:r>
      <w:r>
        <w:rPr>
          <w:rFonts w:ascii="Calibri" w:hAnsi="Calibri"/>
          <w:sz w:val="20"/>
        </w:rPr>
        <w:t>https://logos-world.net/wp-content/uploads/2022/04/GOAT-Logo.png</w:t>
      </w:r>
    </w:p>
    <w:p>
      <w:pPr>
        <w:shd w:fill="F2F2F2" w:val="clear"/>
      </w:pPr>
      <w:r>
        <w:rPr>
          <w:rFonts w:ascii="Calibri" w:hAnsi="Calibri"/>
          <w:b/>
          <w:sz w:val="20"/>
        </w:rPr>
        <w:t xml:space="preserve">Nombre merchant: </w:t>
      </w:r>
      <w:r>
        <w:rPr>
          <w:rFonts w:ascii="Calibri" w:hAnsi="Calibri"/>
          <w:sz w:val="20"/>
        </w:rPr>
        <w:t>GOAT</w:t>
      </w:r>
    </w:p>
    <w:p>
      <w:r>
        <w:br w:type="page"/>
      </w:r>
    </w:p>
    <w:p>
      <w:pPr>
        <w:pStyle w:val="Heading2"/>
      </w:pPr>
      <w:r>
        <w:rPr>
          <w:rFonts w:ascii="Calibri" w:hAnsi="Calibri"/>
          <w:color w:val="5B4CFF"/>
        </w:rPr>
        <w:t>SLIDE 1: PAIN POINTS</w:t>
      </w:r>
    </w:p>
    <w:p>
      <w:pPr>
        <w:shd w:fill="F2F2F2" w:val="clear"/>
      </w:pPr>
      <w:r>
        <w:rPr>
          <w:rFonts w:ascii="Calibri" w:hAnsi="Calibri"/>
          <w:b/>
          <w:sz w:val="20"/>
        </w:rPr>
        <w:t xml:space="preserve">Tittle_Pain Point_1: </w:t>
      </w:r>
      <w:r>
        <w:rPr>
          <w:rFonts w:ascii="Calibri" w:hAnsi="Calibri"/>
          <w:sz w:val="20"/>
        </w:rPr>
        <w:t>170 Countries, No Routing</w:t>
      </w:r>
    </w:p>
    <w:p>
      <w:pPr>
        <w:shd w:fill="F2F2F2" w:val="clear"/>
      </w:pPr>
      <w:r>
        <w:rPr>
          <w:rFonts w:ascii="Calibri" w:hAnsi="Calibri"/>
          <w:b/>
          <w:sz w:val="20"/>
        </w:rPr>
        <w:t xml:space="preserve">Desc_Pain Point_1: </w:t>
      </w:r>
      <w:r>
        <w:rPr>
          <w:rFonts w:ascii="Calibri" w:hAnsi="Calibri"/>
          <w:sz w:val="20"/>
        </w:rPr>
        <w:t>GOAT ships to 170 countries and 50M+ members but has no smart routing layer. Each transaction follows a single path through one processor. Failed payments in cross border markets stay failed with no cascade or retry logic.</w:t>
      </w:r>
    </w:p>
    <w:p>
      <w:pPr>
        <w:shd w:fill="F2F2F2" w:val="clear"/>
      </w:pPr>
      <w:r>
        <w:rPr>
          <w:rFonts w:ascii="Calibri" w:hAnsi="Calibri"/>
          <w:b/>
          <w:sz w:val="20"/>
        </w:rPr>
        <w:t xml:space="preserve">Tittle_Pain Point_2: </w:t>
      </w:r>
      <w:r>
        <w:rPr>
          <w:rFonts w:ascii="Calibri" w:hAnsi="Calibri"/>
          <w:sz w:val="20"/>
        </w:rPr>
        <w:t>FTC Fined $2M for Refunds</w:t>
      </w:r>
    </w:p>
    <w:p>
      <w:pPr>
        <w:shd w:fill="F2F2F2" w:val="clear"/>
      </w:pPr>
      <w:r>
        <w:rPr>
          <w:rFonts w:ascii="Calibri" w:hAnsi="Calibri"/>
          <w:b/>
          <w:sz w:val="20"/>
        </w:rPr>
        <w:t xml:space="preserve">Desc_Pain Point_2: </w:t>
      </w:r>
      <w:r>
        <w:rPr>
          <w:rFonts w:ascii="Calibri" w:hAnsi="Calibri"/>
          <w:sz w:val="20"/>
        </w:rPr>
        <w:t>FTC ordered GOAT to pay $2M+ in December 2024 for shipping violations and deceptive refund practices. Refund requests were rejected or only partially honored. Payment trust is damaged across the platform.</w:t>
      </w:r>
    </w:p>
    <w:p>
      <w:pPr>
        <w:shd w:fill="F2F2F2" w:val="clear"/>
      </w:pPr>
      <w:r>
        <w:rPr>
          <w:rFonts w:ascii="Calibri" w:hAnsi="Calibri"/>
          <w:b/>
          <w:sz w:val="20"/>
        </w:rPr>
        <w:t xml:space="preserve">Tittle_Pain Point_3: </w:t>
      </w:r>
      <w:r>
        <w:rPr>
          <w:rFonts w:ascii="Calibri" w:hAnsi="Calibri"/>
          <w:sz w:val="20"/>
        </w:rPr>
        <w:t>7+ Payment Partners Siloed</w:t>
      </w:r>
    </w:p>
    <w:p>
      <w:pPr>
        <w:shd w:fill="F2F2F2" w:val="clear"/>
      </w:pPr>
      <w:r>
        <w:rPr>
          <w:rFonts w:ascii="Calibri" w:hAnsi="Calibri"/>
          <w:b/>
          <w:sz w:val="20"/>
        </w:rPr>
        <w:t xml:space="preserve">Desc_Pain Point_3: </w:t>
      </w:r>
      <w:r>
        <w:rPr>
          <w:rFonts w:ascii="Calibri" w:hAnsi="Calibri"/>
          <w:sz w:val="20"/>
        </w:rPr>
        <w:t>GOAT integrates PayPal, Affirm, Afterpay, Klarna, Alipay, Zip, giropay, Apple Pay, and Google Pay. Dwolla handles ACH payouts. Each operates independently with no unified orchestration or performance monitoring.</w:t>
      </w:r>
    </w:p>
    <w:p>
      <w:pPr>
        <w:shd w:fill="F2F2F2" w:val="clear"/>
      </w:pPr>
      <w:r>
        <w:rPr>
          <w:rFonts w:ascii="Calibri" w:hAnsi="Calibri"/>
          <w:b/>
          <w:sz w:val="20"/>
        </w:rPr>
        <w:t xml:space="preserve">Tittle_Pain Point_4: </w:t>
      </w:r>
      <w:r>
        <w:rPr>
          <w:rFonts w:ascii="Calibri" w:hAnsi="Calibri"/>
          <w:sz w:val="20"/>
        </w:rPr>
        <w:t>Seller Payout Bottleneck</w:t>
      </w:r>
    </w:p>
    <w:p>
      <w:pPr>
        <w:shd w:fill="F2F2F2" w:val="clear"/>
      </w:pPr>
      <w:r>
        <w:rPr>
          <w:rFonts w:ascii="Calibri" w:hAnsi="Calibri"/>
          <w:b/>
          <w:sz w:val="20"/>
        </w:rPr>
        <w:t xml:space="preserve">Desc_Pain Point_4: </w:t>
      </w:r>
      <w:r>
        <w:rPr>
          <w:rFonts w:ascii="Calibri" w:hAnsi="Calibri"/>
          <w:sz w:val="20"/>
        </w:rPr>
        <w:t>Before Dwolla, seller payouts took up to 7 days. Now averaging 2 days via ACH. But 1M+ sellers across 170 countries still lack instant settlement and local payout rails beyond US bank transfers.</w:t>
      </w:r>
    </w:p>
    <w:p>
      <w:pPr>
        <w:shd w:fill="F2F2F2" w:val="clear"/>
      </w:pPr>
      <w:r>
        <w:rPr>
          <w:rFonts w:ascii="Calibri" w:hAnsi="Calibri"/>
          <w:b/>
          <w:sz w:val="20"/>
        </w:rPr>
        <w:t xml:space="preserve">Tittle_Pain Point_5: </w:t>
      </w:r>
      <w:r>
        <w:rPr>
          <w:rFonts w:ascii="Calibri" w:hAnsi="Calibri"/>
          <w:sz w:val="20"/>
        </w:rPr>
        <w:t>APAC Localization Gaps</w:t>
      </w:r>
    </w:p>
    <w:p>
      <w:pPr>
        <w:shd w:fill="F2F2F2" w:val="clear"/>
      </w:pPr>
      <w:r>
        <w:rPr>
          <w:rFonts w:ascii="Calibri" w:hAnsi="Calibri"/>
          <w:b/>
          <w:sz w:val="20"/>
        </w:rPr>
        <w:t xml:space="preserve">Desc_Pain Point_5: </w:t>
      </w:r>
      <w:r>
        <w:rPr>
          <w:rFonts w:ascii="Calibri" w:hAnsi="Calibri"/>
          <w:sz w:val="20"/>
        </w:rPr>
        <w:t>GOAT has a Hong Kong hub for APAC but only Alipay covers China. Japan (PayPay, Konbini), Korea (KakaoPay), Southeast Asia (GrabPay, GCash, DANA) have no local payment methods confirmed.</w:t>
      </w:r>
    </w:p>
    <w:p>
      <w:pPr>
        <w:pStyle w:val="Heading2"/>
      </w:pPr>
      <w:r>
        <w:rPr>
          <w:rFonts w:ascii="Calibri" w:hAnsi="Calibri"/>
          <w:color w:val="5B4CFF"/>
        </w:rPr>
        <w:t>SLIDE 1: PSP TOPOLOGY</w:t>
      </w:r>
    </w:p>
    <w:p>
      <w:pPr>
        <w:shd w:fill="F2F2F2" w:val="clear"/>
      </w:pPr>
      <w:r>
        <w:rPr>
          <w:rFonts w:ascii="Calibri" w:hAnsi="Calibri"/>
          <w:b/>
          <w:sz w:val="20"/>
        </w:rPr>
        <w:t xml:space="preserve">PSP_1: </w:t>
      </w:r>
      <w:r>
        <w:rPr>
          <w:rFonts w:ascii="Calibri" w:hAnsi="Calibri"/>
          <w:sz w:val="20"/>
        </w:rPr>
        <w:t>PayPal</w:t>
      </w:r>
    </w:p>
    <w:p>
      <w:pPr>
        <w:shd w:fill="F2F2F2" w:val="clear"/>
      </w:pPr>
      <w:r>
        <w:rPr>
          <w:rFonts w:ascii="Calibri" w:hAnsi="Calibri"/>
          <w:b/>
          <w:sz w:val="20"/>
        </w:rPr>
        <w:t xml:space="preserve">PSP_2: </w:t>
      </w:r>
      <w:r>
        <w:rPr>
          <w:rFonts w:ascii="Calibri" w:hAnsi="Calibri"/>
          <w:sz w:val="20"/>
        </w:rPr>
        <w:t>Affirm</w:t>
      </w:r>
    </w:p>
    <w:p>
      <w:pPr>
        <w:shd w:fill="F2F2F2" w:val="clear"/>
      </w:pPr>
      <w:r>
        <w:rPr>
          <w:rFonts w:ascii="Calibri" w:hAnsi="Calibri"/>
          <w:b/>
          <w:sz w:val="20"/>
        </w:rPr>
        <w:t xml:space="preserve">PSP_3: </w:t>
      </w:r>
      <w:r>
        <w:rPr>
          <w:rFonts w:ascii="Calibri" w:hAnsi="Calibri"/>
          <w:sz w:val="20"/>
        </w:rPr>
        <w:t>Dwolla (ACH payouts)</w:t>
      </w:r>
    </w:p>
    <w:p>
      <w:pPr>
        <w:shd w:fill="F2F2F2" w:val="clear"/>
      </w:pPr>
      <w:r>
        <w:rPr>
          <w:rFonts w:ascii="Calibri" w:hAnsi="Calibri"/>
          <w:b/>
          <w:sz w:val="20"/>
        </w:rPr>
        <w:t xml:space="preserve">PSP_4: </w:t>
      </w:r>
      <w:r>
        <w:rPr>
          <w:rFonts w:ascii="Calibri" w:hAnsi="Calibri"/>
          <w:sz w:val="20"/>
        </w:rPr>
        <w:t>Klarna</w:t>
      </w:r>
    </w:p>
    <w:p>
      <w:pPr>
        <w:pStyle w:val="Heading2"/>
      </w:pPr>
      <w:r>
        <w:rPr>
          <w:rFonts w:ascii="Calibri" w:hAnsi="Calibri"/>
          <w:color w:val="5B4CFF"/>
        </w:rPr>
        <w:t>SLIDE 1: MISSING LOCAL METHODS (BLIND SPOTS)</w:t>
      </w:r>
    </w:p>
    <w:p>
      <w:pPr>
        <w:shd w:fill="F2F2F2" w:val="clear"/>
      </w:pPr>
      <w:r>
        <w:rPr>
          <w:rFonts w:ascii="Calibri" w:hAnsi="Calibri"/>
          <w:b/>
          <w:sz w:val="20"/>
        </w:rPr>
        <w:t xml:space="preserve">Local_M_1: </w:t>
      </w:r>
      <w:r>
        <w:rPr>
          <w:rFonts w:ascii="Calibri" w:hAnsi="Calibri"/>
          <w:sz w:val="20"/>
        </w:rPr>
        <w:t>KakaoPay (S. Korea)</w:t>
      </w:r>
    </w:p>
    <w:p>
      <w:pPr>
        <w:shd w:fill="F2F2F2" w:val="clear"/>
      </w:pPr>
      <w:r>
        <w:rPr>
          <w:rFonts w:ascii="Calibri" w:hAnsi="Calibri"/>
          <w:b/>
          <w:sz w:val="20"/>
        </w:rPr>
        <w:t xml:space="preserve">Local_M_2: </w:t>
      </w:r>
      <w:r>
        <w:rPr>
          <w:rFonts w:ascii="Calibri" w:hAnsi="Calibri"/>
          <w:sz w:val="20"/>
        </w:rPr>
        <w:t>PayPay (Japan)</w:t>
      </w:r>
    </w:p>
    <w:p>
      <w:pPr>
        <w:shd w:fill="F2F2F2" w:val="clear"/>
      </w:pPr>
      <w:r>
        <w:rPr>
          <w:rFonts w:ascii="Calibri" w:hAnsi="Calibri"/>
          <w:b/>
          <w:sz w:val="20"/>
        </w:rPr>
        <w:t xml:space="preserve">Local_M_3: </w:t>
      </w:r>
      <w:r>
        <w:rPr>
          <w:rFonts w:ascii="Calibri" w:hAnsi="Calibri"/>
          <w:sz w:val="20"/>
        </w:rPr>
        <w:t>Konbini (Japan)</w:t>
      </w:r>
    </w:p>
    <w:p>
      <w:pPr>
        <w:shd w:fill="F2F2F2" w:val="clear"/>
      </w:pPr>
      <w:r>
        <w:rPr>
          <w:rFonts w:ascii="Calibri" w:hAnsi="Calibri"/>
          <w:b/>
          <w:sz w:val="20"/>
        </w:rPr>
        <w:t xml:space="preserve">Local_M_4: </w:t>
      </w:r>
      <w:r>
        <w:rPr>
          <w:rFonts w:ascii="Calibri" w:hAnsi="Calibri"/>
          <w:sz w:val="20"/>
        </w:rPr>
        <w:t>GrabPay (SEA)</w:t>
      </w:r>
    </w:p>
    <w:p>
      <w:pPr>
        <w:shd w:fill="F2F2F2" w:val="clear"/>
      </w:pPr>
      <w:r>
        <w:rPr>
          <w:rFonts w:ascii="Calibri" w:hAnsi="Calibri"/>
          <w:b/>
          <w:sz w:val="20"/>
        </w:rPr>
        <w:t xml:space="preserve">Local_M_5: </w:t>
      </w:r>
      <w:r>
        <w:rPr>
          <w:rFonts w:ascii="Calibri" w:hAnsi="Calibri"/>
          <w:sz w:val="20"/>
        </w:rPr>
        <w:t>GCash (Philippines)</w:t>
      </w:r>
    </w:p>
    <w:p>
      <w:pPr>
        <w:shd w:fill="F2F2F2" w:val="clear"/>
      </w:pPr>
      <w:r>
        <w:rPr>
          <w:rFonts w:ascii="Calibri" w:hAnsi="Calibri"/>
          <w:b/>
          <w:sz w:val="20"/>
        </w:rPr>
        <w:t xml:space="preserve">Local_M_6: </w:t>
      </w:r>
      <w:r>
        <w:rPr>
          <w:rFonts w:ascii="Calibri" w:hAnsi="Calibri"/>
          <w:sz w:val="20"/>
        </w:rPr>
        <w:t>DANA (Indonesia)</w:t>
      </w:r>
    </w:p>
    <w:p>
      <w:pPr>
        <w:shd w:fill="F2F2F2" w:val="clear"/>
      </w:pPr>
      <w:r>
        <w:rPr>
          <w:rFonts w:ascii="Calibri" w:hAnsi="Calibri"/>
          <w:b/>
          <w:sz w:val="20"/>
        </w:rPr>
        <w:t xml:space="preserve">Local_M_7: </w:t>
      </w:r>
      <w:r>
        <w:rPr>
          <w:rFonts w:ascii="Calibri" w:hAnsi="Calibri"/>
          <w:sz w:val="20"/>
        </w:rPr>
        <w:t>PromptPay (Thailand)</w:t>
      </w:r>
    </w:p>
    <w:p>
      <w:pPr>
        <w:shd w:fill="F2F2F2" w:val="clear"/>
      </w:pPr>
      <w:r>
        <w:rPr>
          <w:rFonts w:ascii="Calibri" w:hAnsi="Calibri"/>
          <w:b/>
          <w:sz w:val="20"/>
        </w:rPr>
        <w:t xml:space="preserve">Local_M_8: </w:t>
      </w:r>
      <w:r>
        <w:rPr>
          <w:rFonts w:ascii="Calibri" w:hAnsi="Calibri"/>
          <w:sz w:val="20"/>
        </w:rPr>
        <w:t>Pix (Brazil)</w:t>
      </w:r>
    </w:p>
    <w:p>
      <w:pPr>
        <w:shd w:fill="F2F2F2" w:val="clear"/>
      </w:pPr>
      <w:r>
        <w:rPr>
          <w:rFonts w:ascii="Calibri" w:hAnsi="Calibri"/>
          <w:b/>
          <w:sz w:val="20"/>
        </w:rPr>
        <w:t xml:space="preserve">Local_M_9: </w:t>
      </w:r>
      <w:r>
        <w:rPr>
          <w:rFonts w:ascii="Calibri" w:hAnsi="Calibri"/>
          <w:sz w:val="20"/>
        </w:rPr>
        <w:t>iDEAL (Netherlands)</w:t>
      </w:r>
    </w:p>
    <w:p>
      <w:pPr>
        <w:shd w:fill="F2F2F2" w:val="clear"/>
      </w:pPr>
      <w:r>
        <w:rPr>
          <w:rFonts w:ascii="Calibri" w:hAnsi="Calibri"/>
          <w:b/>
          <w:sz w:val="20"/>
        </w:rPr>
        <w:t xml:space="preserve">Local_M_10: </w:t>
      </w:r>
      <w:r>
        <w:rPr>
          <w:rFonts w:ascii="Calibri" w:hAnsi="Calibri"/>
          <w:sz w:val="20"/>
        </w:rPr>
        <w:t>Bancontact (Belgium)</w:t>
      </w:r>
    </w:p>
    <w:p>
      <w:r>
        <w:br w:type="page"/>
      </w:r>
    </w:p>
    <w:p>
      <w:pPr>
        <w:pStyle w:val="Heading2"/>
      </w:pPr>
      <w:r>
        <w:rPr>
          <w:rFonts w:ascii="Calibri" w:hAnsi="Calibri"/>
          <w:color w:val="5B4CFF"/>
        </w:rPr>
        <w:t>SLIDE 2: YUNO CAPABILITIES</w:t>
      </w:r>
    </w:p>
    <w:p>
      <w:pPr>
        <w:shd w:fill="F2F2F2" w:val="clear"/>
      </w:pPr>
      <w:r>
        <w:rPr>
          <w:rFonts w:ascii="Calibri" w:hAnsi="Calibri"/>
          <w:b/>
          <w:sz w:val="20"/>
        </w:rPr>
        <w:t xml:space="preserve">Tittle_Yuno_Cap1: </w:t>
      </w:r>
      <w:r>
        <w:rPr>
          <w:rFonts w:ascii="Calibri" w:hAnsi="Calibri"/>
          <w:sz w:val="20"/>
        </w:rPr>
        <w:t>Smart Routing Across 7+ PSPs</w:t>
      </w:r>
    </w:p>
    <w:p>
      <w:pPr>
        <w:shd w:fill="F2F2F2" w:val="clear"/>
      </w:pPr>
      <w:r>
        <w:rPr>
          <w:rFonts w:ascii="Calibri" w:hAnsi="Calibri"/>
          <w:b/>
          <w:sz w:val="20"/>
        </w:rPr>
        <w:t xml:space="preserve">Desc_Yuno_Cap1: </w:t>
      </w:r>
      <w:r>
        <w:rPr>
          <w:rFonts w:ascii="Calibri" w:hAnsi="Calibri"/>
          <w:sz w:val="20"/>
        </w:rPr>
        <w:t>Route each GOAT transaction across PayPal, Affirm, Klarna, Afterpay, and card processors by BIN, issuer, currency, and real time PSP performance. McDonald's achieved +4.7% approval across 18 markets with Yuno. Up to 50% recovery on failed transactions.</w:t>
      </w:r>
    </w:p>
    <w:p>
      <w:pPr>
        <w:shd w:fill="F2F2F2" w:val="clear"/>
      </w:pPr>
      <w:r>
        <w:rPr>
          <w:rFonts w:ascii="Calibri" w:hAnsi="Calibri"/>
          <w:b/>
          <w:sz w:val="20"/>
        </w:rPr>
        <w:t xml:space="preserve">Tittle_Yuno_Cap2: </w:t>
      </w:r>
      <w:r>
        <w:rPr>
          <w:rFonts w:ascii="Calibri" w:hAnsi="Calibri"/>
          <w:sz w:val="20"/>
        </w:rPr>
        <w:t>APAC + LATAM APM Activation</w:t>
      </w:r>
    </w:p>
    <w:p>
      <w:pPr>
        <w:shd w:fill="F2F2F2" w:val="clear"/>
      </w:pPr>
      <w:r>
        <w:rPr>
          <w:rFonts w:ascii="Calibri" w:hAnsi="Calibri"/>
          <w:b/>
          <w:sz w:val="20"/>
        </w:rPr>
        <w:t xml:space="preserve">Desc_Yuno_Cap2: </w:t>
      </w:r>
      <w:r>
        <w:rPr>
          <w:rFonts w:ascii="Calibri" w:hAnsi="Calibri"/>
          <w:sz w:val="20"/>
        </w:rPr>
        <w:t>Activate KakaoPay, PayPay, Konbini, GrabPay, GCash, DANA, PromptPay, Pix, and iDEAL via one API. 1,000+ payment methods, 68+ countries direct. InDrive scaled 10 markets in under 8 months with 90% approval through Yuno.</w:t>
      </w:r>
    </w:p>
    <w:p>
      <w:pPr>
        <w:shd w:fill="F2F2F2" w:val="clear"/>
      </w:pPr>
      <w:r>
        <w:rPr>
          <w:rFonts w:ascii="Calibri" w:hAnsi="Calibri"/>
          <w:b/>
          <w:sz w:val="20"/>
        </w:rPr>
        <w:t xml:space="preserve">Tittle_Yuno_Cap3: </w:t>
      </w:r>
      <w:r>
        <w:rPr>
          <w:rFonts w:ascii="Calibri" w:hAnsi="Calibri"/>
          <w:sz w:val="20"/>
        </w:rPr>
        <w:t>Unified Payout Orchestration</w:t>
      </w:r>
    </w:p>
    <w:p>
      <w:pPr>
        <w:shd w:fill="F2F2F2" w:val="clear"/>
      </w:pPr>
      <w:r>
        <w:rPr>
          <w:rFonts w:ascii="Calibri" w:hAnsi="Calibri"/>
          <w:b/>
          <w:sz w:val="20"/>
        </w:rPr>
        <w:t xml:space="preserve">Desc_Yuno_Cap3: </w:t>
      </w:r>
      <w:r>
        <w:rPr>
          <w:rFonts w:ascii="Calibri" w:hAnsi="Calibri"/>
          <w:sz w:val="20"/>
        </w:rPr>
        <w:t>One orchestration layer unifying buyer payments (7+ PSPs) and seller payouts (Dwolla ACH + future local rails) across 170 countries. Single reconciliation dashboard. Rappi (20+ PSPs) cut analyst time by 80% with Yuno.</w:t>
      </w:r>
    </w:p>
    <w:p>
      <w:pPr>
        <w:shd w:fill="F2F2F2" w:val="clear"/>
      </w:pPr>
      <w:r>
        <w:rPr>
          <w:rFonts w:ascii="Calibri" w:hAnsi="Calibri"/>
          <w:b/>
          <w:sz w:val="20"/>
        </w:rPr>
        <w:t xml:space="preserve">Tittle_Yuno_Cap4: </w:t>
      </w:r>
      <w:r>
        <w:rPr>
          <w:rFonts w:ascii="Calibri" w:hAnsi="Calibri"/>
          <w:sz w:val="20"/>
        </w:rPr>
        <w:t>Real Time Anomaly Monitors</w:t>
      </w:r>
    </w:p>
    <w:p>
      <w:pPr>
        <w:shd w:fill="F2F2F2" w:val="clear"/>
      </w:pPr>
      <w:r>
        <w:rPr>
          <w:rFonts w:ascii="Calibri" w:hAnsi="Calibri"/>
          <w:b/>
          <w:sz w:val="20"/>
        </w:rPr>
        <w:t xml:space="preserve">Desc_Yuno_Cap4: </w:t>
      </w:r>
      <w:r>
        <w:rPr>
          <w:rFonts w:ascii="Calibri" w:hAnsi="Calibri"/>
          <w:sz w:val="20"/>
        </w:rPr>
        <w:t>Rappi used Yuno Monitors to cut anomaly response from 10 minutes to milliseconds. For GOAT processing millions of high value sneaker transactions, real time detection prevents checkout errors and fraud before they trigger FTC complaints.</w:t>
      </w:r>
    </w:p>
    <w:p>
      <w:r>
        <w:br w:type="page"/>
      </w:r>
    </w:p>
    <w:p>
      <w:pPr>
        <w:pStyle w:val="Heading2"/>
      </w:pPr>
      <w:r>
        <w:rPr>
          <w:rFonts w:ascii="Calibri" w:hAnsi="Calibri"/>
          <w:color w:val="5B4CFF"/>
        </w:rPr>
        <w:t>RESEARCH BACKING</w:t>
      </w:r>
    </w:p>
    <w:p>
      <w:r>
        <w:t>GOAT at a glance: HQ Los Angeles, CA. CEO: Eddy Lu (co founder). CTO: Chris To (March 2024). Valuation: $3.7B. Revenue: ~$248M (2024). 50M+ members, 1M+ sellers, 170 countries. Investors: Y Combinator, a16z, First Round Capital. Merged with Flight Club 2018.</w:t>
      </w:r>
    </w:p>
    <w:p>
      <w:r>
        <w:t>Confirmed PSPs: PayPal, Affirm (30% AOV increase), Afterpay, Klarna, Alipay, Zip, giropay. Dwolla for ACH seller payouts (10 day integration, reduced 7 day to 2 day payouts). Apple Pay, Google Pay confirmed. No payment orchestrator detected.</w:t>
      </w:r>
    </w:p>
    <w:p>
      <w:r>
        <w:t>FTC settlement Dec 2024: $2M+ for shipping violations and deceptive refund practices. 37% of Instant orders shipped late. Refund requests rejected or partially honored.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