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i w:val="0"/>
          <w:color w:val="5B4CFF"/>
          <w:sz w:val="32"/>
        </w:rPr>
        <w:t>LEGALZOOM | Stripe Sessions Research (SS Database Format)</w:t>
      </w:r>
    </w:p>
    <w:p>
      <w:pPr>
        <w:spacing w:after="240"/>
      </w:pPr>
      <w:r>
        <w:rPr>
          <w:rFonts w:ascii="Calibri" w:hAnsi="Calibri"/>
          <w:b w:val="0"/>
          <w:i/>
          <w:color w:val="999999"/>
          <w:sz w:val="20"/>
        </w:rPr>
        <w:t>Generated: 2026-04-21</w:t>
      </w:r>
    </w:p>
    <w:p>
      <w:pPr>
        <w:spacing w:before="80" w:after="80"/>
      </w:pPr>
      <w:r>
        <w:rPr>
          <w:rFonts w:ascii="Calibri" w:hAnsi="Calibri"/>
          <w:b/>
          <w:i w:val="0"/>
          <w:sz w:val="20"/>
        </w:rPr>
        <w:t>═══════════════════════════════════════</w:t>
      </w:r>
    </w:p>
    <w:p>
      <w:pPr>
        <w:spacing w:before="40" w:after="40"/>
      </w:pPr>
      <w:r>
        <w:rPr>
          <w:rFonts w:ascii="Calibri" w:hAnsi="Calibri"/>
          <w:b/>
          <w:i w:val="0"/>
          <w:color w:val="5B4CFF"/>
          <w:sz w:val="28"/>
        </w:rPr>
        <w:t>DATABASE FIELDS: LegalZoom</w:t>
      </w:r>
    </w:p>
    <w:p>
      <w:pPr>
        <w:spacing w:before="80" w:after="80"/>
      </w:pPr>
      <w:r>
        <w:rPr>
          <w:rFonts w:ascii="Calibri" w:hAnsi="Calibri"/>
          <w:b/>
          <w:i w:val="0"/>
          <w:sz w:val="20"/>
        </w:rPr>
        <w:t>═══════════════════════════════════════</w:t>
      </w:r>
    </w:p>
    <w:p/>
    <w:p>
      <w:pPr>
        <w:shd w:fill="F2F2F2" w:val="clear"/>
      </w:pPr>
      <w:r>
        <w:rPr>
          <w:rFonts w:ascii="Calibri" w:hAnsi="Calibri"/>
          <w:b/>
          <w:i w:val="0"/>
          <w:color w:val="5B4CFF"/>
          <w:sz w:val="20"/>
        </w:rPr>
        <w:t xml:space="preserve">Logo: </w:t>
      </w:r>
      <w:r>
        <w:rPr>
          <w:rFonts w:ascii="Calibri" w:hAnsi="Calibri"/>
          <w:b w:val="0"/>
          <w:i w:val="0"/>
          <w:sz w:val="20"/>
        </w:rPr>
        <w:t>https://upload.wikimedia.org/wikipedia/commons/7/7e/LZ_logo_2015_rgb.svg</w:t>
      </w:r>
      <w:r>
        <w:rPr>
          <w:rFonts w:ascii="Calibri" w:hAnsi="Calibri"/>
          <w:b w:val="0"/>
          <w:i/>
          <w:color w:val="999999"/>
          <w:sz w:val="16"/>
        </w:rPr>
        <w:t xml:space="preserve">  [72 chars]</w:t>
      </w:r>
    </w:p>
    <w:p>
      <w:pPr>
        <w:shd w:fill="F2F2F2" w:val="clear"/>
      </w:pPr>
      <w:r>
        <w:rPr>
          <w:rFonts w:ascii="Calibri" w:hAnsi="Calibri"/>
          <w:b/>
          <w:i w:val="0"/>
          <w:color w:val="5B4CFF"/>
          <w:sz w:val="20"/>
        </w:rPr>
        <w:t xml:space="preserve">Nombre merchant: </w:t>
      </w:r>
      <w:r>
        <w:rPr>
          <w:rFonts w:ascii="Calibri" w:hAnsi="Calibri"/>
          <w:b w:val="0"/>
          <w:i w:val="0"/>
          <w:sz w:val="20"/>
        </w:rPr>
        <w:t>LegalZoom</w:t>
      </w:r>
      <w:r>
        <w:rPr>
          <w:rFonts w:ascii="Calibri" w:hAnsi="Calibri"/>
          <w:b w:val="0"/>
          <w:i/>
          <w:color w:val="999999"/>
          <w:sz w:val="16"/>
        </w:rPr>
        <w:t xml:space="preserve">  [9 chars]</w:t>
      </w:r>
    </w:p>
    <w:p/>
    <w:p>
      <w:pPr>
        <w:spacing w:after="120"/>
      </w:pPr>
      <w:r>
        <w:rPr>
          <w:rFonts w:ascii="Calibri" w:hAnsi="Calibri"/>
          <w:b/>
          <w:i w:val="0"/>
          <w:color w:val="5B4CFF"/>
          <w:sz w:val="26"/>
        </w:rPr>
        <w:t>SLIDE 1: PAIN POINTS</w:t>
      </w:r>
    </w:p>
    <w:p>
      <w:pPr>
        <w:shd w:fill="F2F2F2" w:val="clear"/>
      </w:pPr>
      <w:r>
        <w:rPr>
          <w:rFonts w:ascii="Calibri" w:hAnsi="Calibri"/>
          <w:b/>
          <w:i w:val="0"/>
          <w:color w:val="5B4CFF"/>
          <w:sz w:val="20"/>
        </w:rPr>
        <w:t xml:space="preserve">Tittle_Pain Point_1: </w:t>
      </w:r>
      <w:r>
        <w:rPr>
          <w:rFonts w:ascii="Calibri" w:hAnsi="Calibri"/>
          <w:b w:val="0"/>
          <w:i w:val="0"/>
          <w:sz w:val="20"/>
        </w:rPr>
        <w:t>Card-Only Checkout</w:t>
      </w:r>
      <w:r>
        <w:rPr>
          <w:rFonts w:ascii="Calibri" w:hAnsi="Calibri"/>
          <w:b w:val="0"/>
          <w:i/>
          <w:color w:val="999999"/>
          <w:sz w:val="16"/>
        </w:rPr>
        <w:t xml:space="preserve">  [18 chars]</w:t>
      </w:r>
    </w:p>
    <w:p>
      <w:pPr>
        <w:shd w:fill="F2F2F2" w:val="clear"/>
      </w:pPr>
      <w:r>
        <w:rPr>
          <w:rFonts w:ascii="Calibri" w:hAnsi="Calibri"/>
          <w:b/>
          <w:i w:val="0"/>
          <w:color w:val="5B4CFF"/>
          <w:sz w:val="20"/>
        </w:rPr>
        <w:t xml:space="preserve">Tittle_Pain Point_2: </w:t>
      </w:r>
      <w:r>
        <w:rPr>
          <w:rFonts w:ascii="Calibri" w:hAnsi="Calibri"/>
          <w:b w:val="0"/>
          <w:i w:val="0"/>
          <w:sz w:val="20"/>
        </w:rPr>
        <w:t>No Acquirer Redundancy</w:t>
      </w:r>
      <w:r>
        <w:rPr>
          <w:rFonts w:ascii="Calibri" w:hAnsi="Calibri"/>
          <w:b w:val="0"/>
          <w:i/>
          <w:color w:val="999999"/>
          <w:sz w:val="16"/>
        </w:rPr>
        <w:t xml:space="preserve">  [22 chars]</w:t>
      </w:r>
    </w:p>
    <w:p>
      <w:pPr>
        <w:shd w:fill="F2F2F2" w:val="clear"/>
      </w:pPr>
      <w:r>
        <w:rPr>
          <w:rFonts w:ascii="Calibri" w:hAnsi="Calibri"/>
          <w:b/>
          <w:i w:val="0"/>
          <w:color w:val="5B4CFF"/>
          <w:sz w:val="20"/>
        </w:rPr>
        <w:t xml:space="preserve">Tittle_Pain Point_3: </w:t>
      </w:r>
      <w:r>
        <w:rPr>
          <w:rFonts w:ascii="Calibri" w:hAnsi="Calibri"/>
          <w:b w:val="0"/>
          <w:i w:val="0"/>
          <w:sz w:val="20"/>
        </w:rPr>
        <w:t>Subscription Churn Risk</w:t>
      </w:r>
      <w:r>
        <w:rPr>
          <w:rFonts w:ascii="Calibri" w:hAnsi="Calibri"/>
          <w:b w:val="0"/>
          <w:i/>
          <w:color w:val="999999"/>
          <w:sz w:val="16"/>
        </w:rPr>
        <w:t xml:space="preserve">  [23 chars]</w:t>
      </w:r>
    </w:p>
    <w:p>
      <w:pPr>
        <w:shd w:fill="F2F2F2" w:val="clear"/>
      </w:pPr>
      <w:r>
        <w:rPr>
          <w:rFonts w:ascii="Calibri" w:hAnsi="Calibri"/>
          <w:b/>
          <w:i w:val="0"/>
          <w:color w:val="5B4CFF"/>
          <w:sz w:val="20"/>
        </w:rPr>
        <w:t xml:space="preserve">Tittle_Pain Point_4: </w:t>
      </w:r>
      <w:r>
        <w:rPr>
          <w:rFonts w:ascii="Calibri" w:hAnsi="Calibri"/>
          <w:b w:val="0"/>
          <w:i w:val="0"/>
          <w:sz w:val="20"/>
        </w:rPr>
        <w:t>UK Expansion Friction</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Tittle_Pain Point_5: </w:t>
      </w:r>
      <w:r>
        <w:rPr>
          <w:rFonts w:ascii="Calibri" w:hAnsi="Calibri"/>
          <w:b w:val="0"/>
          <w:i w:val="0"/>
          <w:sz w:val="20"/>
        </w:rPr>
        <w:t>Auth Rate Erosion</w:t>
      </w:r>
      <w:r>
        <w:rPr>
          <w:rFonts w:ascii="Calibri" w:hAnsi="Calibri"/>
          <w:b w:val="0"/>
          <w:i/>
          <w:color w:val="999999"/>
          <w:sz w:val="16"/>
        </w:rPr>
        <w:t xml:space="preserve">  [17 chars]</w:t>
      </w:r>
    </w:p>
    <w:p/>
    <w:p>
      <w:pPr>
        <w:shd w:fill="F2F2F2" w:val="clear"/>
      </w:pPr>
      <w:r>
        <w:rPr>
          <w:rFonts w:ascii="Calibri" w:hAnsi="Calibri"/>
          <w:b/>
          <w:i w:val="0"/>
          <w:color w:val="5B4CFF"/>
          <w:sz w:val="20"/>
        </w:rPr>
        <w:t xml:space="preserve">Desc_Pain Point_1: </w:t>
      </w:r>
      <w:r>
        <w:rPr>
          <w:rFonts w:ascii="Calibri" w:hAnsi="Calibri"/>
          <w:b w:val="0"/>
          <w:i w:val="0"/>
          <w:sz w:val="20"/>
        </w:rPr>
        <w:t>Only Visa, Mastercard, and debit cards accepted. No PayPal, no ACH for subscriptions, no Apple Pay, no Google Pay. 1.9M subscribers limited to card rails, blocking customers who prefer wallets or bank payments.</w:t>
      </w:r>
    </w:p>
    <w:p>
      <w:pPr>
        <w:shd w:fill="F2F2F2" w:val="clear"/>
        <w:spacing w:before="0" w:after="120"/>
      </w:pPr>
      <w:r>
        <w:rPr>
          <w:rFonts w:ascii="Calibri" w:hAnsi="Calibri"/>
          <w:b w:val="0"/>
          <w:i/>
          <w:color w:val="999999"/>
          <w:sz w:val="16"/>
        </w:rPr>
        <w:t>[210 chars]</w:t>
      </w:r>
    </w:p>
    <w:p>
      <w:pPr>
        <w:shd w:fill="F2F2F2" w:val="clear"/>
      </w:pPr>
      <w:r>
        <w:rPr>
          <w:rFonts w:ascii="Calibri" w:hAnsi="Calibri"/>
          <w:b/>
          <w:i w:val="0"/>
          <w:color w:val="5B4CFF"/>
          <w:sz w:val="20"/>
        </w:rPr>
        <w:t xml:space="preserve">Desc_Pain Point_2: </w:t>
      </w:r>
      <w:r>
        <w:rPr>
          <w:rFonts w:ascii="Calibri" w:hAnsi="Calibri"/>
          <w:b w:val="0"/>
          <w:i w:val="0"/>
          <w:sz w:val="20"/>
        </w:rPr>
        <w:t>Stripe is the sole identified payment processor. With $756M revenue and 1.9M subscription units, any Stripe incident blocks all new formations, renewals, and compliance payments simultaneously.</w:t>
      </w:r>
    </w:p>
    <w:p>
      <w:pPr>
        <w:shd w:fill="F2F2F2" w:val="clear"/>
        <w:spacing w:before="0" w:after="120"/>
      </w:pPr>
      <w:r>
        <w:rPr>
          <w:rFonts w:ascii="Calibri" w:hAnsi="Calibri"/>
          <w:b w:val="0"/>
          <w:i/>
          <w:color w:val="999999"/>
          <w:sz w:val="16"/>
        </w:rPr>
        <w:t>[193 chars]</w:t>
      </w:r>
    </w:p>
    <w:p>
      <w:pPr>
        <w:shd w:fill="F2F2F2" w:val="clear"/>
      </w:pPr>
      <w:r>
        <w:rPr>
          <w:rFonts w:ascii="Calibri" w:hAnsi="Calibri"/>
          <w:b/>
          <w:i w:val="0"/>
          <w:color w:val="5B4CFF"/>
          <w:sz w:val="20"/>
        </w:rPr>
        <w:t xml:space="preserve">Desc_Pain Point_3: </w:t>
      </w:r>
      <w:r>
        <w:rPr>
          <w:rFonts w:ascii="Calibri" w:hAnsi="Calibri"/>
          <w:b w:val="0"/>
          <w:i w:val="0"/>
          <w:sz w:val="20"/>
        </w:rPr>
        <w:t>65% of revenue is recurring subscriptions ($492M). Registered agent renewals, compliance packages, and attorney subscriptions rely on card-on-file. Card expiration and issuer declines silently erode the base.</w:t>
      </w:r>
    </w:p>
    <w:p>
      <w:pPr>
        <w:shd w:fill="F2F2F2" w:val="clear"/>
        <w:spacing w:before="0" w:after="120"/>
      </w:pPr>
      <w:r>
        <w:rPr>
          <w:rFonts w:ascii="Calibri" w:hAnsi="Calibri"/>
          <w:b w:val="0"/>
          <w:i/>
          <w:color w:val="999999"/>
          <w:sz w:val="16"/>
        </w:rPr>
        <w:t>[208 chars]</w:t>
      </w:r>
    </w:p>
    <w:p>
      <w:pPr>
        <w:shd w:fill="F2F2F2" w:val="clear"/>
      </w:pPr>
      <w:r>
        <w:rPr>
          <w:rFonts w:ascii="Calibri" w:hAnsi="Calibri"/>
          <w:b/>
          <w:i w:val="0"/>
          <w:color w:val="5B4CFF"/>
          <w:sz w:val="20"/>
        </w:rPr>
        <w:t xml:space="preserve">Desc_Pain Point_4: </w:t>
      </w:r>
      <w:r>
        <w:rPr>
          <w:rFonts w:ascii="Calibri" w:hAnsi="Calibri"/>
          <w:b w:val="0"/>
          <w:i w:val="0"/>
          <w:sz w:val="20"/>
        </w:rPr>
        <w:t>LegalZoom UK licensed as ABS with SRA but payment infrastructure lacks local methods. No BACS DD, no Open Banking, no local wallets. UK small businesses expect bank-based recurring payments.</w:t>
      </w:r>
    </w:p>
    <w:p>
      <w:pPr>
        <w:shd w:fill="F2F2F2" w:val="clear"/>
        <w:spacing w:before="0" w:after="120"/>
      </w:pPr>
      <w:r>
        <w:rPr>
          <w:rFonts w:ascii="Calibri" w:hAnsi="Calibri"/>
          <w:b w:val="0"/>
          <w:i/>
          <w:color w:val="999999"/>
          <w:sz w:val="16"/>
        </w:rPr>
        <w:t>[190 chars]</w:t>
      </w:r>
    </w:p>
    <w:p>
      <w:pPr>
        <w:shd w:fill="F2F2F2" w:val="clear"/>
      </w:pPr>
      <w:r>
        <w:rPr>
          <w:rFonts w:ascii="Calibri" w:hAnsi="Calibri"/>
          <w:b/>
          <w:i w:val="0"/>
          <w:color w:val="5B4CFF"/>
          <w:sz w:val="20"/>
        </w:rPr>
        <w:t xml:space="preserve">Desc_Pain Point_5: </w:t>
      </w:r>
      <w:r>
        <w:rPr>
          <w:rFonts w:ascii="Calibri" w:hAnsi="Calibri"/>
          <w:b w:val="0"/>
          <w:i w:val="0"/>
          <w:sz w:val="20"/>
        </w:rPr>
        <w:t>Small business owners often use personal cards with lower limits and higher decline rates. SMB card portfolios churn faster than enterprise, amplifying the auth rate problem across 1.9M subscriptions.</w:t>
      </w:r>
    </w:p>
    <w:p>
      <w:pPr>
        <w:shd w:fill="F2F2F2" w:val="clear"/>
        <w:spacing w:before="0" w:after="120"/>
      </w:pPr>
      <w:r>
        <w:rPr>
          <w:rFonts w:ascii="Calibri" w:hAnsi="Calibri"/>
          <w:b w:val="0"/>
          <w:i/>
          <w:color w:val="999999"/>
          <w:sz w:val="16"/>
        </w:rPr>
        <w:t>[200 chars]</w:t>
      </w:r>
    </w:p>
    <w:p/>
    <w:p>
      <w:pPr>
        <w:spacing w:after="120"/>
      </w:pPr>
      <w:r>
        <w:rPr>
          <w:rFonts w:ascii="Calibri" w:hAnsi="Calibri"/>
          <w:b/>
          <w:i w:val="0"/>
          <w:color w:val="5B4CFF"/>
          <w:sz w:val="26"/>
        </w:rPr>
        <w:t>SLIDE 1: PSP TOPOLOGY</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PSP_1</w:t>
            </w:r>
          </w:p>
        </w:tc>
        <w:tc>
          <w:tcPr>
            <w:tcW w:type="dxa" w:w="4320"/>
          </w:tcPr>
          <w:p>
            <w:r>
              <w:rPr>
                <w:rFonts w:ascii="Calibri" w:hAnsi="Calibri"/>
                <w:b w:val="0"/>
                <w:i w:val="0"/>
                <w:sz w:val="20"/>
              </w:rPr>
              <w:t>Stripe (primary, confirmed)</w:t>
            </w:r>
          </w:p>
        </w:tc>
      </w:tr>
      <w:tr>
        <w:tc>
          <w:tcPr>
            <w:tcW w:type="dxa" w:w="4320"/>
            <w:shd w:fill="F2F2F2" w:val="clear"/>
          </w:tcPr>
          <w:p>
            <w:r>
              <w:rPr>
                <w:rFonts w:ascii="Calibri" w:hAnsi="Calibri"/>
                <w:b/>
                <w:i w:val="0"/>
                <w:sz w:val="20"/>
              </w:rPr>
              <w:t>PSP_2</w:t>
            </w:r>
          </w:p>
        </w:tc>
        <w:tc>
          <w:tcPr>
            <w:tcW w:type="dxa" w:w="4320"/>
            <w:shd w:fill="F2F2F2" w:val="clear"/>
          </w:tcPr>
          <w:p>
            <w:r>
              <w:rPr>
                <w:rFonts w:ascii="Calibri" w:hAnsi="Calibri"/>
                <w:b w:val="0"/>
                <w:i w:val="0"/>
                <w:sz w:val="20"/>
              </w:rPr>
              <w:t>None identified</w:t>
            </w:r>
          </w:p>
        </w:tc>
      </w:tr>
    </w:tbl>
    <w:p/>
    <w:p>
      <w:pPr>
        <w:spacing w:after="120"/>
      </w:pPr>
      <w:r>
        <w:rPr>
          <w:rFonts w:ascii="Calibri" w:hAnsi="Calibri"/>
          <w:b/>
          <w:i w:val="0"/>
          <w:color w:val="5B4CFF"/>
          <w:sz w:val="26"/>
        </w:rPr>
        <w:t>SLIDE 1: MISSING LOCAL METHODS (BLIND SPOTS)</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Local_M_1</w:t>
            </w:r>
          </w:p>
        </w:tc>
        <w:tc>
          <w:tcPr>
            <w:tcW w:type="dxa" w:w="4320"/>
          </w:tcPr>
          <w:p>
            <w:r>
              <w:rPr>
                <w:rFonts w:ascii="Calibri" w:hAnsi="Calibri"/>
                <w:b w:val="0"/>
                <w:i w:val="0"/>
                <w:sz w:val="20"/>
              </w:rPr>
              <w:t>ACH Direct Debit</w:t>
            </w:r>
          </w:p>
        </w:tc>
      </w:tr>
      <w:tr>
        <w:tc>
          <w:tcPr>
            <w:tcW w:type="dxa" w:w="4320"/>
            <w:shd w:fill="F2F2F2" w:val="clear"/>
          </w:tcPr>
          <w:p>
            <w:r>
              <w:rPr>
                <w:rFonts w:ascii="Calibri" w:hAnsi="Calibri"/>
                <w:b/>
                <w:i w:val="0"/>
                <w:sz w:val="20"/>
              </w:rPr>
              <w:t>Local_M_2</w:t>
            </w:r>
          </w:p>
        </w:tc>
        <w:tc>
          <w:tcPr>
            <w:tcW w:type="dxa" w:w="4320"/>
            <w:shd w:fill="F2F2F2" w:val="clear"/>
          </w:tcPr>
          <w:p>
            <w:r>
              <w:rPr>
                <w:rFonts w:ascii="Calibri" w:hAnsi="Calibri"/>
                <w:b w:val="0"/>
                <w:i w:val="0"/>
                <w:sz w:val="20"/>
              </w:rPr>
              <w:t>PayPal</w:t>
            </w:r>
          </w:p>
        </w:tc>
      </w:tr>
      <w:tr>
        <w:tc>
          <w:tcPr>
            <w:tcW w:type="dxa" w:w="4320"/>
          </w:tcPr>
          <w:p>
            <w:r>
              <w:rPr>
                <w:rFonts w:ascii="Calibri" w:hAnsi="Calibri"/>
                <w:b/>
                <w:i w:val="0"/>
                <w:sz w:val="20"/>
              </w:rPr>
              <w:t>Local_M_3</w:t>
            </w:r>
          </w:p>
        </w:tc>
        <w:tc>
          <w:tcPr>
            <w:tcW w:type="dxa" w:w="4320"/>
          </w:tcPr>
          <w:p>
            <w:r>
              <w:rPr>
                <w:rFonts w:ascii="Calibri" w:hAnsi="Calibri"/>
                <w:b w:val="0"/>
                <w:i w:val="0"/>
                <w:sz w:val="20"/>
              </w:rPr>
              <w:t>BACS Direct Debit</w:t>
            </w:r>
          </w:p>
        </w:tc>
      </w:tr>
      <w:tr>
        <w:tc>
          <w:tcPr>
            <w:tcW w:type="dxa" w:w="4320"/>
            <w:shd w:fill="F2F2F2" w:val="clear"/>
          </w:tcPr>
          <w:p>
            <w:r>
              <w:rPr>
                <w:rFonts w:ascii="Calibri" w:hAnsi="Calibri"/>
                <w:b/>
                <w:i w:val="0"/>
                <w:sz w:val="20"/>
              </w:rPr>
              <w:t>Local_M_4</w:t>
            </w:r>
          </w:p>
        </w:tc>
        <w:tc>
          <w:tcPr>
            <w:tcW w:type="dxa" w:w="4320"/>
            <w:shd w:fill="F2F2F2" w:val="clear"/>
          </w:tcPr>
          <w:p>
            <w:r>
              <w:rPr>
                <w:rFonts w:ascii="Calibri" w:hAnsi="Calibri"/>
                <w:b w:val="0"/>
                <w:i w:val="0"/>
                <w:sz w:val="20"/>
              </w:rPr>
              <w:t>Apple Pay</w:t>
            </w:r>
          </w:p>
        </w:tc>
      </w:tr>
      <w:tr>
        <w:tc>
          <w:tcPr>
            <w:tcW w:type="dxa" w:w="4320"/>
          </w:tcPr>
          <w:p>
            <w:r>
              <w:rPr>
                <w:rFonts w:ascii="Calibri" w:hAnsi="Calibri"/>
                <w:b/>
                <w:i w:val="0"/>
                <w:sz w:val="20"/>
              </w:rPr>
              <w:t>Local_M_5</w:t>
            </w:r>
          </w:p>
        </w:tc>
        <w:tc>
          <w:tcPr>
            <w:tcW w:type="dxa" w:w="4320"/>
          </w:tcPr>
          <w:p>
            <w:r>
              <w:rPr>
                <w:rFonts w:ascii="Calibri" w:hAnsi="Calibri"/>
                <w:b w:val="0"/>
                <w:i w:val="0"/>
                <w:sz w:val="20"/>
              </w:rPr>
              <w:t>Google Pay</w:t>
            </w:r>
          </w:p>
        </w:tc>
      </w:tr>
      <w:tr>
        <w:tc>
          <w:tcPr>
            <w:tcW w:type="dxa" w:w="4320"/>
            <w:shd w:fill="F2F2F2" w:val="clear"/>
          </w:tcPr>
          <w:p>
            <w:r>
              <w:rPr>
                <w:rFonts w:ascii="Calibri" w:hAnsi="Calibri"/>
                <w:b/>
                <w:i w:val="0"/>
                <w:sz w:val="20"/>
              </w:rPr>
              <w:t>Local_M_6</w:t>
            </w:r>
          </w:p>
        </w:tc>
        <w:tc>
          <w:tcPr>
            <w:tcW w:type="dxa" w:w="4320"/>
            <w:shd w:fill="F2F2F2" w:val="clear"/>
          </w:tcPr>
          <w:p>
            <w:r>
              <w:rPr>
                <w:rFonts w:ascii="Calibri" w:hAnsi="Calibri"/>
                <w:b w:val="0"/>
                <w:i w:val="0"/>
                <w:sz w:val="20"/>
              </w:rPr>
              <w:t>Venmo</w:t>
            </w:r>
          </w:p>
        </w:tc>
      </w:tr>
      <w:tr>
        <w:tc>
          <w:tcPr>
            <w:tcW w:type="dxa" w:w="4320"/>
          </w:tcPr>
          <w:p>
            <w:r>
              <w:rPr>
                <w:rFonts w:ascii="Calibri" w:hAnsi="Calibri"/>
                <w:b/>
                <w:i w:val="0"/>
                <w:sz w:val="20"/>
              </w:rPr>
              <w:t>Local_M_7</w:t>
            </w:r>
          </w:p>
        </w:tc>
        <w:tc>
          <w:tcPr>
            <w:tcW w:type="dxa" w:w="4320"/>
          </w:tcPr>
          <w:p>
            <w:r>
              <w:rPr>
                <w:rFonts w:ascii="Calibri" w:hAnsi="Calibri"/>
                <w:b w:val="0"/>
                <w:i w:val="0"/>
                <w:sz w:val="20"/>
              </w:rPr>
              <w:t>Cash App Pay</w:t>
            </w:r>
          </w:p>
        </w:tc>
      </w:tr>
      <w:tr>
        <w:tc>
          <w:tcPr>
            <w:tcW w:type="dxa" w:w="4320"/>
            <w:shd w:fill="F2F2F2" w:val="clear"/>
          </w:tcPr>
          <w:p>
            <w:r>
              <w:rPr>
                <w:rFonts w:ascii="Calibri" w:hAnsi="Calibri"/>
                <w:b/>
                <w:i w:val="0"/>
                <w:sz w:val="20"/>
              </w:rPr>
              <w:t>Local_M_8</w:t>
            </w:r>
          </w:p>
        </w:tc>
        <w:tc>
          <w:tcPr>
            <w:tcW w:type="dxa" w:w="4320"/>
            <w:shd w:fill="F2F2F2" w:val="clear"/>
          </w:tcPr>
          <w:p>
            <w:r>
              <w:rPr>
                <w:rFonts w:ascii="Calibri" w:hAnsi="Calibri"/>
                <w:b w:val="0"/>
                <w:i w:val="0"/>
                <w:sz w:val="20"/>
              </w:rPr>
              <w:t>SEPA Direct Debit</w:t>
            </w:r>
          </w:p>
        </w:tc>
      </w:tr>
      <w:tr>
        <w:tc>
          <w:tcPr>
            <w:tcW w:type="dxa" w:w="4320"/>
          </w:tcPr>
          <w:p>
            <w:r>
              <w:rPr>
                <w:rFonts w:ascii="Calibri" w:hAnsi="Calibri"/>
                <w:b/>
                <w:i w:val="0"/>
                <w:sz w:val="20"/>
              </w:rPr>
              <w:t>Local_M_9</w:t>
            </w:r>
          </w:p>
        </w:tc>
        <w:tc>
          <w:tcPr>
            <w:tcW w:type="dxa" w:w="4320"/>
          </w:tcPr>
          <w:p>
            <w:r>
              <w:rPr>
                <w:rFonts w:ascii="Calibri" w:hAnsi="Calibri"/>
                <w:b w:val="0"/>
                <w:i w:val="0"/>
                <w:sz w:val="20"/>
              </w:rPr>
              <w:t>Klarna</w:t>
            </w:r>
          </w:p>
        </w:tc>
      </w:tr>
      <w:tr>
        <w:tc>
          <w:tcPr>
            <w:tcW w:type="dxa" w:w="4320"/>
            <w:shd w:fill="F2F2F2" w:val="clear"/>
          </w:tcPr>
          <w:p>
            <w:r>
              <w:rPr>
                <w:rFonts w:ascii="Calibri" w:hAnsi="Calibri"/>
                <w:b/>
                <w:i w:val="0"/>
                <w:sz w:val="20"/>
              </w:rPr>
              <w:t>Local_M_10</w:t>
            </w:r>
          </w:p>
        </w:tc>
        <w:tc>
          <w:tcPr>
            <w:tcW w:type="dxa" w:w="4320"/>
            <w:shd w:fill="F2F2F2" w:val="clear"/>
          </w:tcPr>
          <w:p>
            <w:r>
              <w:rPr>
                <w:rFonts w:ascii="Calibri" w:hAnsi="Calibri"/>
                <w:b w:val="0"/>
                <w:i w:val="0"/>
                <w:sz w:val="20"/>
              </w:rPr>
              <w:t>Afterpay</w:t>
            </w:r>
          </w:p>
        </w:tc>
      </w:tr>
    </w:tbl>
    <w:p/>
    <w:p>
      <w:pPr>
        <w:spacing w:after="120"/>
      </w:pPr>
      <w:r>
        <w:rPr>
          <w:rFonts w:ascii="Calibri" w:hAnsi="Calibri"/>
          <w:b/>
          <w:i w:val="0"/>
          <w:color w:val="5B4CFF"/>
          <w:sz w:val="26"/>
        </w:rPr>
        <w:t>SLIDE 2: YUNO CAPABILITIES</w:t>
      </w:r>
    </w:p>
    <w:p>
      <w:pPr>
        <w:shd w:fill="F2F2F2" w:val="clear"/>
      </w:pPr>
      <w:r>
        <w:rPr>
          <w:rFonts w:ascii="Calibri" w:hAnsi="Calibri"/>
          <w:b/>
          <w:i w:val="0"/>
          <w:color w:val="5B4CFF"/>
          <w:sz w:val="20"/>
        </w:rPr>
        <w:t xml:space="preserve">Tittle_Yuno_Cap1: </w:t>
      </w:r>
      <w:r>
        <w:rPr>
          <w:rFonts w:ascii="Calibri" w:hAnsi="Calibri"/>
          <w:b w:val="0"/>
          <w:i w:val="0"/>
          <w:sz w:val="20"/>
        </w:rPr>
        <w:t>Smart Routing</w:t>
      </w:r>
      <w:r>
        <w:rPr>
          <w:rFonts w:ascii="Calibri" w:hAnsi="Calibri"/>
          <w:b w:val="0"/>
          <w:i/>
          <w:color w:val="999999"/>
          <w:sz w:val="16"/>
        </w:rPr>
        <w:t xml:space="preserve">  [13 chars]</w:t>
      </w:r>
    </w:p>
    <w:p>
      <w:pPr>
        <w:shd w:fill="F2F2F2" w:val="clear"/>
      </w:pPr>
      <w:r>
        <w:rPr>
          <w:rFonts w:ascii="Calibri" w:hAnsi="Calibri"/>
          <w:b/>
          <w:i w:val="0"/>
          <w:color w:val="5B4CFF"/>
          <w:sz w:val="20"/>
        </w:rPr>
        <w:t xml:space="preserve">Tittle_Yuno_Cap2: </w:t>
      </w:r>
      <w:r>
        <w:rPr>
          <w:rFonts w:ascii="Calibri" w:hAnsi="Calibri"/>
          <w:b w:val="0"/>
          <w:i w:val="0"/>
          <w:sz w:val="20"/>
        </w:rPr>
        <w:t>Failover &amp; Retries</w:t>
      </w:r>
      <w:r>
        <w:rPr>
          <w:rFonts w:ascii="Calibri" w:hAnsi="Calibri"/>
          <w:b w:val="0"/>
          <w:i/>
          <w:color w:val="999999"/>
          <w:sz w:val="16"/>
        </w:rPr>
        <w:t xml:space="preserve">  [18 chars]</w:t>
      </w:r>
    </w:p>
    <w:p>
      <w:pPr>
        <w:shd w:fill="F2F2F2" w:val="clear"/>
      </w:pPr>
      <w:r>
        <w:rPr>
          <w:rFonts w:ascii="Calibri" w:hAnsi="Calibri"/>
          <w:b/>
          <w:i w:val="0"/>
          <w:color w:val="5B4CFF"/>
          <w:sz w:val="20"/>
        </w:rPr>
        <w:t xml:space="preserve">Tittle_Yuno_Cap3: </w:t>
      </w:r>
      <w:r>
        <w:rPr>
          <w:rFonts w:ascii="Calibri" w:hAnsi="Calibri"/>
          <w:b w:val="0"/>
          <w:i w:val="0"/>
          <w:sz w:val="20"/>
        </w:rPr>
        <w:t>Local Payment Methods</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Tittle_Yuno_Cap4: </w:t>
      </w:r>
      <w:r>
        <w:rPr>
          <w:rFonts w:ascii="Calibri" w:hAnsi="Calibri"/>
          <w:b w:val="0"/>
          <w:i w:val="0"/>
          <w:sz w:val="20"/>
        </w:rPr>
        <w:t>Unified Orchestration</w:t>
      </w:r>
      <w:r>
        <w:rPr>
          <w:rFonts w:ascii="Calibri" w:hAnsi="Calibri"/>
          <w:b w:val="0"/>
          <w:i/>
          <w:color w:val="999999"/>
          <w:sz w:val="16"/>
        </w:rPr>
        <w:t xml:space="preserve">  [21 chars]</w:t>
      </w:r>
    </w:p>
    <w:p/>
    <w:p>
      <w:pPr>
        <w:shd w:fill="F2F2F2" w:val="clear"/>
      </w:pPr>
      <w:r>
        <w:rPr>
          <w:rFonts w:ascii="Calibri" w:hAnsi="Calibri"/>
          <w:b/>
          <w:i w:val="0"/>
          <w:color w:val="5B4CFF"/>
          <w:sz w:val="20"/>
        </w:rPr>
        <w:t xml:space="preserve">Desc_Yuno_Cap1: </w:t>
      </w:r>
      <w:r>
        <w:rPr>
          <w:rFonts w:ascii="Calibri" w:hAnsi="Calibri"/>
          <w:b w:val="0"/>
          <w:i w:val="0"/>
          <w:sz w:val="20"/>
        </w:rPr>
        <w:t>Route each subscription renewal and formation purchase to the highest-performing acquirer by card BIN, issuer, and region. With $756M revenue and 1.9M subscription units, even a 3% auth uplift recovers $22M+ in annual revenue without a single new formation filing.</w:t>
      </w:r>
    </w:p>
    <w:p>
      <w:pPr>
        <w:shd w:fill="F2F2F2" w:val="clear"/>
        <w:spacing w:before="0" w:after="120"/>
      </w:pPr>
      <w:r>
        <w:rPr>
          <w:rFonts w:ascii="Calibri" w:hAnsi="Calibri"/>
          <w:b w:val="0"/>
          <w:i/>
          <w:color w:val="999999"/>
          <w:sz w:val="16"/>
        </w:rPr>
        <w:t>[264 chars]</w:t>
      </w:r>
    </w:p>
    <w:p>
      <w:pPr>
        <w:shd w:fill="F2F2F2" w:val="clear"/>
      </w:pPr>
      <w:r>
        <w:rPr>
          <w:rFonts w:ascii="Calibri" w:hAnsi="Calibri"/>
          <w:b/>
          <w:i w:val="0"/>
          <w:color w:val="5B4CFF"/>
          <w:sz w:val="20"/>
        </w:rPr>
        <w:t xml:space="preserve">Desc_Yuno_Cap2: </w:t>
      </w:r>
      <w:r>
        <w:rPr>
          <w:rFonts w:ascii="Calibri" w:hAnsi="Calibri"/>
          <w:b w:val="0"/>
          <w:i w:val="0"/>
          <w:sz w:val="20"/>
        </w:rPr>
        <w:t>Automatic cascade removes LegalZoom's sole Stripe dependency. When Stripe declines a compliance renewal, Yuno reroutes to the next best acquirer in milliseconds, recovering failed transactions with zero friction. Up to 50% recovery on soft declines across 1.9M subscriptions.</w:t>
      </w:r>
    </w:p>
    <w:p>
      <w:pPr>
        <w:shd w:fill="F2F2F2" w:val="clear"/>
        <w:spacing w:before="0" w:after="120"/>
      </w:pPr>
      <w:r>
        <w:rPr>
          <w:rFonts w:ascii="Calibri" w:hAnsi="Calibri"/>
          <w:b w:val="0"/>
          <w:i/>
          <w:color w:val="999999"/>
          <w:sz w:val="16"/>
        </w:rPr>
        <w:t>[275 chars]</w:t>
      </w:r>
    </w:p>
    <w:p>
      <w:pPr>
        <w:shd w:fill="F2F2F2" w:val="clear"/>
      </w:pPr>
      <w:r>
        <w:rPr>
          <w:rFonts w:ascii="Calibri" w:hAnsi="Calibri"/>
          <w:b/>
          <w:i w:val="0"/>
          <w:color w:val="5B4CFF"/>
          <w:sz w:val="20"/>
        </w:rPr>
        <w:t xml:space="preserve">Desc_Yuno_Cap3: </w:t>
      </w:r>
      <w:r>
        <w:rPr>
          <w:rFonts w:ascii="Calibri" w:hAnsi="Calibri"/>
          <w:b w:val="0"/>
          <w:i w:val="0"/>
          <w:sz w:val="20"/>
        </w:rPr>
        <w:t>Activates the payment methods LegalZoom's SMB customers need: ACH for US bank payments, PayPal and Apple Pay as digital wallets, BACS DD for UK expansion, BNPL options for high-value formation packages. One API, 1,000+ payment methods. No new integrations per method.</w:t>
      </w:r>
    </w:p>
    <w:p>
      <w:pPr>
        <w:shd w:fill="F2F2F2" w:val="clear"/>
        <w:spacing w:before="0" w:after="120"/>
      </w:pPr>
      <w:r>
        <w:rPr>
          <w:rFonts w:ascii="Calibri" w:hAnsi="Calibri"/>
          <w:b w:val="0"/>
          <w:i/>
          <w:color w:val="999999"/>
          <w:sz w:val="16"/>
        </w:rPr>
        <w:t>[267 chars]</w:t>
      </w:r>
    </w:p>
    <w:p>
      <w:pPr>
        <w:shd w:fill="F2F2F2" w:val="clear"/>
      </w:pPr>
      <w:r>
        <w:rPr>
          <w:rFonts w:ascii="Calibri" w:hAnsi="Calibri"/>
          <w:b/>
          <w:i w:val="0"/>
          <w:color w:val="5B4CFF"/>
          <w:sz w:val="20"/>
        </w:rPr>
        <w:t xml:space="preserve">Desc_Yuno_Cap4: </w:t>
      </w:r>
      <w:r>
        <w:rPr>
          <w:rFonts w:ascii="Calibri" w:hAnsi="Calibri"/>
          <w:b w:val="0"/>
          <w:i w:val="0"/>
          <w:sz w:val="20"/>
        </w:rPr>
        <w:t>One dashboard consolidating all payment channels into a unified view. Real-time approval rate monitoring, centralized reconciliation, millisecond anomaly detection. Wall Street visibility into subscription health metrics for a public company reporting to analysts.</w:t>
      </w:r>
    </w:p>
    <w:p>
      <w:pPr>
        <w:shd w:fill="F2F2F2" w:val="clear"/>
        <w:spacing w:before="0" w:after="120"/>
      </w:pPr>
      <w:r>
        <w:rPr>
          <w:rFonts w:ascii="Calibri" w:hAnsi="Calibri"/>
          <w:b w:val="0"/>
          <w:i/>
          <w:color w:val="999999"/>
          <w:sz w:val="16"/>
        </w:rPr>
        <w:t>[264 chars]</w:t>
      </w:r>
    </w:p>
    <w:p>
      <w:r>
        <w:br w:type="page"/>
      </w:r>
    </w:p>
    <w:p>
      <w:pPr>
        <w:spacing w:after="160"/>
      </w:pPr>
      <w:r>
        <w:rPr>
          <w:rFonts w:ascii="Calibri" w:hAnsi="Calibri"/>
          <w:b/>
          <w:i w:val="0"/>
          <w:color w:val="5B4CFF"/>
          <w:sz w:val="28"/>
        </w:rPr>
        <w:t>RESEARCH BACKING | Key Facts for the Meeting</w:t>
      </w:r>
    </w:p>
    <w:p>
      <w:pPr>
        <w:spacing w:before="40" w:after="40"/>
      </w:pPr>
      <w:r>
        <w:rPr>
          <w:rFonts w:ascii="Calibri" w:hAnsi="Calibri"/>
          <w:b w:val="0"/>
          <w:i w:val="0"/>
          <w:color w:val="CCCCCC"/>
          <w:sz w:val="20"/>
        </w:rPr>
        <w:t>──────────────────────────────────────────────────────────</w:t>
      </w:r>
    </w:p>
    <w:p/>
    <w:p>
      <w:pPr>
        <w:spacing w:before="120" w:after="40"/>
      </w:pPr>
      <w:r>
        <w:rPr>
          <w:rFonts w:ascii="Calibri" w:hAnsi="Calibri"/>
          <w:b/>
          <w:i w:val="0"/>
          <w:sz w:val="22"/>
        </w:rPr>
        <w:t>LegalZoom at a glance:</w:t>
      </w:r>
    </w:p>
    <w:p>
      <w:pPr>
        <w:pStyle w:val="ListBullet"/>
      </w:pPr>
      <w:r>
        <w:rPr>
          <w:rFonts w:ascii="Calibri" w:hAnsi="Calibri"/>
          <w:b w:val="0"/>
          <w:i w:val="0"/>
          <w:sz w:val="20"/>
        </w:rPr>
        <w:t>Online legal technology company. Founded 2001, IPO June 2021 (NASDAQ: LZ)</w:t>
      </w:r>
    </w:p>
    <w:p>
      <w:pPr>
        <w:pStyle w:val="ListBullet"/>
      </w:pPr>
      <w:r>
        <w:rPr>
          <w:rFonts w:ascii="Calibri" w:hAnsi="Calibri"/>
          <w:b w:val="0"/>
          <w:i w:val="0"/>
          <w:sz w:val="20"/>
        </w:rPr>
        <w:t>HQ: Mountain View, CA (formerly Glendale, CA). ~1,400 employees across 5 continents</w:t>
      </w:r>
    </w:p>
    <w:p>
      <w:pPr>
        <w:pStyle w:val="ListBullet"/>
      </w:pPr>
      <w:r>
        <w:rPr>
          <w:rFonts w:ascii="Calibri" w:hAnsi="Calibri"/>
          <w:b w:val="0"/>
          <w:i w:val="0"/>
          <w:sz w:val="20"/>
        </w:rPr>
        <w:t>Revenue: $756M (FY2025), up 11% YoY. Subscription revenue: $492.5M (65% of total), up 13%</w:t>
      </w:r>
    </w:p>
    <w:p>
      <w:pPr>
        <w:pStyle w:val="ListBullet"/>
      </w:pPr>
      <w:r>
        <w:rPr>
          <w:rFonts w:ascii="Calibri" w:hAnsi="Calibri"/>
          <w:b w:val="0"/>
          <w:i w:val="0"/>
          <w:sz w:val="20"/>
        </w:rPr>
        <w:t>2026 guidance: $805M-$825M revenue, $190M-$200M Adjusted EBITDA</w:t>
      </w:r>
    </w:p>
    <w:p>
      <w:pPr>
        <w:pStyle w:val="ListBullet"/>
      </w:pPr>
      <w:r>
        <w:rPr>
          <w:rFonts w:ascii="Calibri" w:hAnsi="Calibri"/>
          <w:b w:val="0"/>
          <w:i w:val="0"/>
          <w:sz w:val="20"/>
        </w:rPr>
        <w:t>Market cap: ~$1.06B (April 2026)</w:t>
      </w:r>
    </w:p>
    <w:p>
      <w:pPr>
        <w:pStyle w:val="ListBullet"/>
      </w:pPr>
      <w:r>
        <w:rPr>
          <w:rFonts w:ascii="Calibri" w:hAnsi="Calibri"/>
          <w:b w:val="0"/>
          <w:i w:val="0"/>
          <w:sz w:val="20"/>
        </w:rPr>
        <w:t>1.9M subscription units outstanding (14% YoY growth)</w:t>
      </w:r>
    </w:p>
    <w:p>
      <w:pPr>
        <w:pStyle w:val="ListBullet"/>
      </w:pPr>
      <w:r>
        <w:rPr>
          <w:rFonts w:ascii="Calibri" w:hAnsi="Calibri"/>
          <w:b w:val="0"/>
          <w:i w:val="0"/>
          <w:sz w:val="20"/>
        </w:rPr>
        <w:t>CEO: Jeffrey Stibel (since July 2024). COO/CFO: Noel Watson</w:t>
      </w:r>
    </w:p>
    <w:p>
      <w:pPr>
        <w:pStyle w:val="ListBullet"/>
      </w:pPr>
      <w:r>
        <w:rPr>
          <w:rFonts w:ascii="Calibri" w:hAnsi="Calibri"/>
          <w:b w:val="0"/>
          <w:i w:val="0"/>
          <w:sz w:val="20"/>
        </w:rPr>
        <w:t>Record free cash flow: $147.9M (2025), up 48% YoY</w:t>
      </w:r>
    </w:p>
    <w:p>
      <w:pPr>
        <w:pStyle w:val="ListBullet"/>
      </w:pPr>
      <w:r>
        <w:rPr>
          <w:rFonts w:ascii="Calibri" w:hAnsi="Calibri"/>
          <w:b w:val="0"/>
          <w:i w:val="0"/>
          <w:sz w:val="20"/>
        </w:rPr>
        <w:t>Acquired Formation Nation (NCH, Inc Authority brands) in 2025</w:t>
      </w:r>
    </w:p>
    <w:p>
      <w:pPr>
        <w:pStyle w:val="ListBullet"/>
      </w:pPr>
      <w:r>
        <w:rPr>
          <w:rFonts w:ascii="Calibri" w:hAnsi="Calibri"/>
          <w:b w:val="0"/>
          <w:i w:val="0"/>
          <w:sz w:val="20"/>
        </w:rPr>
        <w:t>UK operations licensed as Alternative Business Structure (SRA regulated)</w:t>
      </w:r>
    </w:p>
    <w:p>
      <w:pPr>
        <w:pStyle w:val="ListBullet"/>
      </w:pPr>
      <w:r>
        <w:rPr>
          <w:rFonts w:ascii="Calibri" w:hAnsi="Calibri"/>
          <w:b w:val="0"/>
          <w:i w:val="0"/>
          <w:sz w:val="20"/>
        </w:rPr>
        <w:t>Key products: LLC/Corp formation, Registered Agent, Compliance Concierge, Estate Planning, IP Filing, LZ Tax, LZ Books, Attorney Advice subscriptions</w:t>
      </w:r>
    </w:p>
    <w:p>
      <w:pPr>
        <w:spacing w:before="120" w:after="40"/>
      </w:pPr>
      <w:r>
        <w:rPr>
          <w:rFonts w:ascii="Calibri" w:hAnsi="Calibri"/>
          <w:b/>
          <w:i w:val="0"/>
          <w:sz w:val="22"/>
        </w:rPr>
        <w:t>Confirmed PSPs:</w:t>
      </w:r>
    </w:p>
    <w:p>
      <w:pPr>
        <w:pStyle w:val="ListBullet"/>
      </w:pPr>
      <w:r>
        <w:rPr>
          <w:rFonts w:ascii="Calibri" w:hAnsi="Calibri"/>
          <w:b w:val="0"/>
          <w:i w:val="0"/>
          <w:sz w:val="20"/>
        </w:rPr>
        <w:t>Stripe: confirmed in privacy policy (identity verification), LZ Books invoicing integration, and FAQ documentation</w:t>
      </w:r>
    </w:p>
    <w:p>
      <w:pPr>
        <w:pStyle w:val="ListBullet"/>
      </w:pPr>
      <w:r>
        <w:rPr>
          <w:rFonts w:ascii="Calibri" w:hAnsi="Calibri"/>
          <w:b w:val="0"/>
          <w:i w:val="0"/>
          <w:sz w:val="20"/>
        </w:rPr>
        <w:t>No secondary card acquirer identified</w:t>
      </w:r>
    </w:p>
    <w:p>
      <w:pPr>
        <w:pStyle w:val="ListBullet"/>
      </w:pPr>
      <w:r>
        <w:rPr>
          <w:rFonts w:ascii="Calibri" w:hAnsi="Calibri"/>
          <w:b w:val="0"/>
          <w:i w:val="0"/>
          <w:sz w:val="20"/>
        </w:rPr>
        <w:t>No PayPal integration detected</w:t>
      </w:r>
    </w:p>
    <w:p>
      <w:pPr>
        <w:pStyle w:val="ListBullet"/>
      </w:pPr>
      <w:r>
        <w:rPr>
          <w:rFonts w:ascii="Calibri" w:hAnsi="Calibri"/>
          <w:b w:val="0"/>
          <w:i w:val="0"/>
          <w:sz w:val="20"/>
        </w:rPr>
        <w:t>No payment orchestrator detected</w:t>
      </w:r>
    </w:p>
    <w:p>
      <w:pPr>
        <w:spacing w:before="120" w:after="40"/>
      </w:pPr>
      <w:r>
        <w:rPr>
          <w:rFonts w:ascii="Calibri" w:hAnsi="Calibri"/>
          <w:b/>
          <w:i w:val="0"/>
          <w:sz w:val="22"/>
        </w:rPr>
        <w:t>Accepted payment methods:</w:t>
      </w:r>
    </w:p>
    <w:p>
      <w:pPr>
        <w:pStyle w:val="ListBullet"/>
      </w:pPr>
      <w:r>
        <w:rPr>
          <w:rFonts w:ascii="Calibri" w:hAnsi="Calibri"/>
          <w:b w:val="0"/>
          <w:i w:val="0"/>
          <w:sz w:val="20"/>
        </w:rPr>
        <w:t>Credit cards: Visa, Mastercard (Amex mentioned in some sources, absent in others)</w:t>
      </w:r>
    </w:p>
    <w:p>
      <w:pPr>
        <w:pStyle w:val="ListBullet"/>
      </w:pPr>
      <w:r>
        <w:rPr>
          <w:rFonts w:ascii="Calibri" w:hAnsi="Calibri"/>
          <w:b w:val="0"/>
          <w:i w:val="0"/>
          <w:sz w:val="20"/>
        </w:rPr>
        <w:t>Debit cards accepted</w:t>
      </w:r>
    </w:p>
    <w:p>
      <w:pPr>
        <w:pStyle w:val="ListBullet"/>
      </w:pPr>
      <w:r>
        <w:rPr>
          <w:rFonts w:ascii="Calibri" w:hAnsi="Calibri"/>
          <w:b w:val="0"/>
          <w:i w:val="0"/>
          <w:sz w:val="20"/>
        </w:rPr>
        <w:t>PayPal: NOT accepted (confirmed May 2025)</w:t>
      </w:r>
    </w:p>
    <w:p>
      <w:pPr>
        <w:pStyle w:val="ListBullet"/>
      </w:pPr>
      <w:r>
        <w:rPr>
          <w:rFonts w:ascii="Calibri" w:hAnsi="Calibri"/>
          <w:b w:val="0"/>
          <w:i w:val="0"/>
          <w:sz w:val="20"/>
        </w:rPr>
        <w:t>Apple Pay: NOT accepted</w:t>
      </w:r>
    </w:p>
    <w:p>
      <w:pPr>
        <w:pStyle w:val="ListBullet"/>
      </w:pPr>
      <w:r>
        <w:rPr>
          <w:rFonts w:ascii="Calibri" w:hAnsi="Calibri"/>
          <w:b w:val="0"/>
          <w:i w:val="0"/>
          <w:sz w:val="20"/>
        </w:rPr>
        <w:t>Google Pay: NOT accepted</w:t>
      </w:r>
    </w:p>
    <w:p>
      <w:pPr>
        <w:pStyle w:val="ListBullet"/>
      </w:pPr>
      <w:r>
        <w:rPr>
          <w:rFonts w:ascii="Calibri" w:hAnsi="Calibri"/>
          <w:b w:val="0"/>
          <w:i w:val="0"/>
          <w:sz w:val="20"/>
        </w:rPr>
        <w:t>ACH: Not for self-serve purchases (available in LZ Books for clients)</w:t>
      </w:r>
    </w:p>
    <w:p>
      <w:pPr>
        <w:pStyle w:val="ListBullet"/>
      </w:pPr>
      <w:r>
        <w:rPr>
          <w:rFonts w:ascii="Calibri" w:hAnsi="Calibri"/>
          <w:b w:val="0"/>
          <w:i w:val="0"/>
          <w:sz w:val="20"/>
        </w:rPr>
        <w:t>Installment plans available on select formation packages</w:t>
      </w:r>
    </w:p>
    <w:p>
      <w:pPr>
        <w:spacing w:before="120" w:after="40"/>
      </w:pPr>
      <w:r>
        <w:rPr>
          <w:rFonts w:ascii="Calibri" w:hAnsi="Calibri"/>
          <w:b/>
          <w:i w:val="0"/>
          <w:sz w:val="22"/>
        </w:rPr>
        <w:t>Revenue breakdown:</w:t>
      </w:r>
    </w:p>
    <w:p>
      <w:pPr>
        <w:pStyle w:val="ListBullet"/>
      </w:pPr>
      <w:r>
        <w:rPr>
          <w:rFonts w:ascii="Calibri" w:hAnsi="Calibri"/>
          <w:b w:val="0"/>
          <w:i w:val="0"/>
          <w:sz w:val="20"/>
        </w:rPr>
        <w:t>Subscription revenue: $492.5M (65%) - Registered agent, compliance, attorney advice, premium services</w:t>
      </w:r>
    </w:p>
    <w:p>
      <w:pPr>
        <w:pStyle w:val="ListBullet"/>
      </w:pPr>
      <w:r>
        <w:rPr>
          <w:rFonts w:ascii="Calibri" w:hAnsi="Calibri"/>
          <w:b w:val="0"/>
          <w:i w:val="0"/>
          <w:sz w:val="20"/>
        </w:rPr>
        <w:t>Transaction revenue: ~$263.5M (35%) - Formation filings, trademark, estate planning one-time purchases</w:t>
      </w:r>
    </w:p>
    <w:p>
      <w:pPr>
        <w:pStyle w:val="ListBullet"/>
      </w:pPr>
      <w:r>
        <w:rPr>
          <w:rFonts w:ascii="Calibri" w:hAnsi="Calibri"/>
          <w:b w:val="0"/>
          <w:i w:val="0"/>
          <w:sz w:val="20"/>
        </w:rPr>
        <w:t>ARPU growing through Compliance Concierge upsell and premium tier migration</w:t>
      </w:r>
    </w:p>
    <w:p>
      <w:pPr>
        <w:spacing w:before="120" w:after="40"/>
      </w:pPr>
      <w:r>
        <w:rPr>
          <w:rFonts w:ascii="Calibri" w:hAnsi="Calibri"/>
          <w:b/>
          <w:i w:val="0"/>
          <w:sz w:val="22"/>
        </w:rPr>
        <w:t>Top 5 Markets Gap Analysis:</w:t>
      </w:r>
    </w:p>
    <w:p>
      <w:pPr>
        <w:spacing w:before="80"/>
      </w:pPr>
      <w:r>
        <w:rPr>
          <w:rFonts w:ascii="Calibri" w:hAnsi="Calibri"/>
          <w:b/>
          <w:i w:val="0"/>
          <w:sz w:val="20"/>
        </w:rPr>
        <w:t>MARKET 1: United States (core market, ~95%+ of revenue)</w:t>
      </w:r>
    </w:p>
    <w:p>
      <w:r>
        <w:rPr>
          <w:rFonts w:ascii="Calibri" w:hAnsi="Calibri"/>
          <w:b w:val="0"/>
          <w:i w:val="0"/>
          <w:sz w:val="20"/>
        </w:rPr>
        <w:t xml:space="preserve">  Accepted: Visa, Mastercard, debit cards</w:t>
      </w:r>
    </w:p>
    <w:p>
      <w:r>
        <w:rPr>
          <w:rFonts w:ascii="Calibri" w:hAnsi="Calibri"/>
          <w:b w:val="0"/>
          <w:i w:val="0"/>
          <w:sz w:val="20"/>
        </w:rPr>
        <w:t xml:space="preserve">  Missing: PayPal, ACH Direct Debit, Apple Pay, Google Pay, Venmo, Cash App Pay, BNPL</w:t>
      </w:r>
    </w:p>
    <w:p>
      <w:r>
        <w:rPr>
          <w:rFonts w:ascii="Calibri" w:hAnsi="Calibri"/>
          <w:b w:val="0"/>
          <w:i w:val="0"/>
          <w:sz w:val="20"/>
        </w:rPr>
        <w:t xml:space="preserve">  Note: US SMBs increasingly prefer PayPal and digital wallets. LegalZoom misses all of them</w:t>
      </w:r>
    </w:p>
    <w:p>
      <w:pPr>
        <w:spacing w:before="80"/>
      </w:pPr>
      <w:r>
        <w:rPr>
          <w:rFonts w:ascii="Calibri" w:hAnsi="Calibri"/>
          <w:b/>
          <w:i w:val="0"/>
          <w:sz w:val="20"/>
        </w:rPr>
        <w:t>MARKET 2: United Kingdom (licensed ABS, expansion market)</w:t>
      </w:r>
    </w:p>
    <w:p>
      <w:r>
        <w:rPr>
          <w:rFonts w:ascii="Calibri" w:hAnsi="Calibri"/>
          <w:b w:val="0"/>
          <w:i w:val="0"/>
          <w:sz w:val="20"/>
        </w:rPr>
        <w:t xml:space="preserve">  Accepted: Cards (limited)</w:t>
      </w:r>
    </w:p>
    <w:p>
      <w:r>
        <w:rPr>
          <w:rFonts w:ascii="Calibri" w:hAnsi="Calibri"/>
          <w:b w:val="0"/>
          <w:i w:val="0"/>
          <w:sz w:val="20"/>
        </w:rPr>
        <w:t xml:space="preserve">  Missing: BACS Direct Debit, Open Banking, PayPal, Apple Pay</w:t>
      </w:r>
    </w:p>
    <w:p>
      <w:r>
        <w:rPr>
          <w:rFonts w:ascii="Calibri" w:hAnsi="Calibri"/>
          <w:b w:val="0"/>
          <w:i w:val="0"/>
          <w:sz w:val="20"/>
        </w:rPr>
        <w:t xml:space="preserve">  Note: UK small businesses rely on Direct Debit for recurring legal/compliance services</w:t>
      </w:r>
    </w:p>
    <w:p>
      <w:pPr>
        <w:spacing w:before="80"/>
      </w:pPr>
      <w:r>
        <w:rPr>
          <w:rFonts w:ascii="Calibri" w:hAnsi="Calibri"/>
          <w:b/>
          <w:i w:val="0"/>
          <w:sz w:val="20"/>
        </w:rPr>
        <w:t>MARKET 3: General international (limited presence via Revv acquisition in India)</w:t>
      </w:r>
    </w:p>
    <w:p>
      <w:r>
        <w:rPr>
          <w:rFonts w:ascii="Calibri" w:hAnsi="Calibri"/>
          <w:b w:val="0"/>
          <w:i w:val="0"/>
          <w:sz w:val="20"/>
        </w:rPr>
        <w:t xml:space="preserve">  Accepted: Cards only</w:t>
      </w:r>
    </w:p>
    <w:p>
      <w:r>
        <w:rPr>
          <w:rFonts w:ascii="Calibri" w:hAnsi="Calibri"/>
          <w:b w:val="0"/>
          <w:i w:val="0"/>
          <w:sz w:val="20"/>
        </w:rPr>
        <w:t xml:space="preserve">  Missing: All local APMs</w:t>
      </w:r>
    </w:p>
    <w:p>
      <w:r>
        <w:rPr>
          <w:rFonts w:ascii="Calibri" w:hAnsi="Calibri"/>
          <w:b w:val="0"/>
          <w:i w:val="0"/>
          <w:sz w:val="20"/>
        </w:rPr>
        <w:t xml:space="preserve">  Note: Minimal international footprint but expansion ambitions stated by management</w:t>
      </w:r>
    </w:p>
    <w:p>
      <w:pPr>
        <w:spacing w:before="120" w:after="40"/>
      </w:pPr>
      <w:r>
        <w:rPr>
          <w:rFonts w:ascii="Calibri" w:hAnsi="Calibri"/>
          <w:b/>
          <w:i w:val="0"/>
          <w:sz w:val="22"/>
        </w:rPr>
        <w:t>Key meeting angles:</w:t>
      </w:r>
    </w:p>
    <w:p>
      <w:pPr>
        <w:spacing w:before="40"/>
      </w:pPr>
      <w:r>
        <w:rPr>
          <w:rFonts w:ascii="Calibri" w:hAnsi="Calibri"/>
          <w:b w:val="0"/>
          <w:i w:val="0"/>
          <w:sz w:val="20"/>
        </w:rPr>
        <w:t>Public company pressure | NASDAQ-listed with declining stock ($1B market cap vs. $7B+ at IPO). Every basis point of auth improvement flows to earnings</w:t>
      </w:r>
    </w:p>
    <w:p>
      <w:pPr>
        <w:spacing w:before="40"/>
      </w:pPr>
      <w:r>
        <w:rPr>
          <w:rFonts w:ascii="Calibri" w:hAnsi="Calibri"/>
          <w:b w:val="0"/>
          <w:i w:val="0"/>
          <w:sz w:val="20"/>
        </w:rPr>
        <w:t>Subscription-first model | 65% recurring revenue from 1.9M units. Card-on-file churn is the biggest silent revenue killer</w:t>
      </w:r>
    </w:p>
    <w:p>
      <w:pPr>
        <w:spacing w:before="40"/>
      </w:pPr>
      <w:r>
        <w:rPr>
          <w:rFonts w:ascii="Calibri" w:hAnsi="Calibri"/>
          <w:b w:val="0"/>
          <w:i w:val="0"/>
          <w:sz w:val="20"/>
        </w:rPr>
        <w:t>SMB card fragility | Small business owners use personal cards with low limits, address changes, and higher turnover. Worst card portfolio for recurring billing</w:t>
      </w:r>
    </w:p>
    <w:p>
      <w:pPr>
        <w:spacing w:before="40"/>
      </w:pPr>
      <w:r>
        <w:rPr>
          <w:rFonts w:ascii="Calibri" w:hAnsi="Calibri"/>
          <w:b w:val="0"/>
          <w:i w:val="0"/>
          <w:sz w:val="20"/>
        </w:rPr>
        <w:t>No PayPal is shocking | A legal services company serving millions of SMBs does not accept PayPal, the most trusted SMB payment method</w:t>
      </w:r>
    </w:p>
    <w:p>
      <w:pPr>
        <w:spacing w:before="40"/>
      </w:pPr>
      <w:r>
        <w:rPr>
          <w:rFonts w:ascii="Calibri" w:hAnsi="Calibri"/>
          <w:b w:val="0"/>
          <w:i w:val="0"/>
          <w:sz w:val="20"/>
        </w:rPr>
        <w:t>Formation Nation integration | Recent acquisition adds NCH and Inc Authority brands. More subscription units, same card-only infrastructure</w:t>
      </w:r>
    </w:p>
    <w:p>
      <w:pPr>
        <w:spacing w:before="40"/>
      </w:pPr>
      <w:r>
        <w:rPr>
          <w:rFonts w:ascii="Calibri" w:hAnsi="Calibri"/>
          <w:b w:val="0"/>
          <w:i w:val="0"/>
          <w:sz w:val="20"/>
        </w:rPr>
        <w:t>UK expansion needs local rails | SRA-licensed ABS needs BACS DD and Open Banking to compete with UK legal services market</w:t>
      </w:r>
    </w:p>
    <w:p>
      <w:pPr>
        <w:spacing w:before="40"/>
      </w:pPr>
      <w:r>
        <w:rPr>
          <w:rFonts w:ascii="Calibri" w:hAnsi="Calibri"/>
          <w:b w:val="0"/>
          <w:i w:val="0"/>
          <w:sz w:val="20"/>
        </w:rPr>
        <w:t>Compliance Concierge upsell | Premium compliance service drives ARPU growth. Higher-value subscriptions make each failed renewal more costly</w:t>
      </w:r>
    </w:p>
    <w:p>
      <w:pPr>
        <w:spacing w:before="120" w:after="40"/>
      </w:pPr>
      <w:r>
        <w:rPr>
          <w:rFonts w:ascii="Calibri" w:hAnsi="Calibri"/>
          <w:b/>
          <w:i w:val="0"/>
          <w:sz w:val="22"/>
        </w:rPr>
        <w:t>Sources:</w:t>
      </w:r>
    </w:p>
    <w:p>
      <w:pPr>
        <w:pStyle w:val="ListBullet"/>
      </w:pPr>
      <w:r>
        <w:rPr>
          <w:rFonts w:ascii="Calibri" w:hAnsi="Calibri"/>
          <w:b w:val="0"/>
          <w:i w:val="0"/>
          <w:sz w:val="20"/>
        </w:rPr>
        <w:t>LegalZoom FY2025 Financial Results</w:t>
      </w:r>
    </w:p>
    <w:p>
      <w:pPr>
        <w:pStyle w:val="ListBullet"/>
      </w:pPr>
      <w:r>
        <w:rPr>
          <w:rFonts w:ascii="Calibri" w:hAnsi="Calibri"/>
          <w:b w:val="0"/>
          <w:i w:val="0"/>
          <w:sz w:val="20"/>
        </w:rPr>
        <w:t>LegalZoom Q3 2025 Results</w:t>
      </w:r>
    </w:p>
    <w:p>
      <w:pPr>
        <w:pStyle w:val="ListBullet"/>
      </w:pPr>
      <w:r>
        <w:rPr>
          <w:rFonts w:ascii="Calibri" w:hAnsi="Calibri"/>
          <w:b w:val="0"/>
          <w:i w:val="0"/>
          <w:sz w:val="20"/>
        </w:rPr>
        <w:t>LegalZoom Investor Relations</w:t>
      </w:r>
    </w:p>
    <w:p>
      <w:pPr>
        <w:pStyle w:val="ListBullet"/>
      </w:pPr>
      <w:r>
        <w:rPr>
          <w:rFonts w:ascii="Calibri" w:hAnsi="Calibri"/>
          <w:b w:val="0"/>
          <w:i w:val="0"/>
          <w:sz w:val="20"/>
        </w:rPr>
        <w:t>LegalZoom Terms of Service</w:t>
      </w:r>
    </w:p>
    <w:p>
      <w:pPr>
        <w:pStyle w:val="ListBullet"/>
      </w:pPr>
      <w:r>
        <w:rPr>
          <w:rFonts w:ascii="Calibri" w:hAnsi="Calibri"/>
          <w:b w:val="0"/>
          <w:i w:val="0"/>
          <w:sz w:val="20"/>
        </w:rPr>
        <w:t>LegalZoom Privacy Policy</w:t>
      </w:r>
    </w:p>
    <w:p>
      <w:pPr>
        <w:pStyle w:val="ListBullet"/>
      </w:pPr>
      <w:r>
        <w:rPr>
          <w:rFonts w:ascii="Calibri" w:hAnsi="Calibri"/>
          <w:b w:val="0"/>
          <w:i w:val="0"/>
          <w:sz w:val="20"/>
        </w:rPr>
        <w:t>LegalZoom Stripe FAQ (LZ Books)</w:t>
      </w:r>
    </w:p>
    <w:p>
      <w:pPr>
        <w:pStyle w:val="ListBullet"/>
      </w:pPr>
      <w:r>
        <w:rPr>
          <w:rFonts w:ascii="Calibri" w:hAnsi="Calibri"/>
          <w:b w:val="0"/>
          <w:i w:val="0"/>
          <w:sz w:val="20"/>
        </w:rPr>
        <w:t>LegalZoom Payment Methods (WhoAcceptsIt)</w:t>
      </w:r>
    </w:p>
    <w:p>
      <w:pPr>
        <w:pStyle w:val="ListBullet"/>
      </w:pPr>
      <w:r>
        <w:rPr>
          <w:rFonts w:ascii="Calibri" w:hAnsi="Calibri"/>
          <w:b w:val="0"/>
          <w:i w:val="0"/>
          <w:sz w:val="20"/>
        </w:rPr>
        <w:t>LegalZoom Wikipedia</w:t>
      </w:r>
    </w:p>
    <w:p>
      <w:pPr>
        <w:pStyle w:val="ListBullet"/>
      </w:pPr>
      <w:r>
        <w:rPr>
          <w:rFonts w:ascii="Calibri" w:hAnsi="Calibri"/>
          <w:b w:val="0"/>
          <w:i w:val="0"/>
          <w:sz w:val="20"/>
        </w:rPr>
        <w:t>LegalZoom AI Subscription Strategy</w:t>
      </w:r>
    </w:p>
    <w:p>
      <w:pPr>
        <w:pStyle w:val="ListBullet"/>
      </w:pPr>
      <w:r>
        <w:rPr>
          <w:rFonts w:ascii="Calibri" w:hAnsi="Calibri"/>
          <w:b w:val="0"/>
          <w:i w:val="0"/>
          <w:sz w:val="20"/>
        </w:rPr>
        <w:t>LegalZoom Pricing (LegalZoomDeals)</w:t>
      </w:r>
    </w:p>
    <w:p>
      <w:pPr>
        <w:pStyle w:val="ListBullet"/>
      </w:pPr>
      <w:r>
        <w:rPr>
          <w:rFonts w:ascii="Calibri" w:hAnsi="Calibri"/>
          <w:b w:val="0"/>
          <w:i w:val="0"/>
          <w:sz w:val="20"/>
        </w:rPr>
        <w:t>LegalZoom Brand Assets</w:t>
      </w:r>
    </w:p>
    <w:p>
      <w:pPr>
        <w:pStyle w:val="ListBullet"/>
      </w:pPr>
      <w:r>
        <w:rPr>
          <w:rFonts w:ascii="Calibri" w:hAnsi="Calibri"/>
          <w:b w:val="0"/>
          <w:i w:val="0"/>
          <w:sz w:val="20"/>
        </w:rPr>
        <w:t>LegalZoom UK ABS Approval</w:t>
      </w:r>
    </w:p>
    <w:p>
      <w:pPr>
        <w:pStyle w:val="ListBullet"/>
      </w:pPr>
      <w:r>
        <w:rPr>
          <w:rFonts w:ascii="Calibri" w:hAnsi="Calibri"/>
          <w:b w:val="0"/>
          <w:i w:val="0"/>
          <w:sz w:val="20"/>
        </w:rPr>
        <w:t>LegalZoom Market Cap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