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LUCID MOTORS | Stripe Sessions Research (SS Database Format)</w:t>
      </w:r>
    </w:p>
    <w:p>
      <w:r>
        <w:rPr>
          <w:i/>
        </w:rPr>
        <w:t>Generated: 2026-04-21</w:t>
      </w:r>
    </w:p>
    <w:p>
      <w:pPr>
        <w:spacing w:after="40" w:before="0"/>
      </w:pPr>
      <w:r>
        <w:rPr>
          <w:rFonts w:ascii="Consolas" w:hAnsi="Consolas"/>
          <w:sz w:val="20"/>
        </w:rPr>
        <w:t>=======================================</w:t>
      </w:r>
    </w:p>
    <w:p>
      <w:pPr>
        <w:spacing w:after="40" w:before="0"/>
      </w:pPr>
      <w:r>
        <w:rPr>
          <w:rFonts w:ascii="Consolas" w:hAnsi="Consolas"/>
          <w:sz w:val="20"/>
        </w:rPr>
        <w:t>DATABASE FIELDS: Lucid Motors</w:t>
      </w:r>
    </w:p>
    <w:p>
      <w:pPr>
        <w:spacing w:after="40" w:before="0"/>
      </w:pPr>
      <w:r>
        <w:rPr>
          <w:rFonts w:ascii="Consolas" w:hAnsi="Consolas"/>
          <w:sz w:val="20"/>
        </w:rPr>
        <w:t>=======================================</w:t>
      </w:r>
    </w:p>
    <w:p>
      <w:pPr>
        <w:spacing w:after="40" w:before="0"/>
      </w:pPr>
      <w:r>
        <w:rPr>
          <w:rFonts w:ascii="Consolas" w:hAnsi="Consolas"/>
          <w:sz w:val="20"/>
        </w:rPr>
      </w:r>
    </w:p>
    <w:p>
      <w:pPr>
        <w:spacing w:after="40" w:before="0"/>
      </w:pPr>
      <w:r>
        <w:rPr>
          <w:rFonts w:ascii="Consolas" w:hAnsi="Consolas"/>
          <w:sz w:val="20"/>
        </w:rPr>
        <w:t>Logo: https://companieslogo.com/img/orig/LCID_BIG-78afe488.png?t=1752312076</w:t>
      </w:r>
    </w:p>
    <w:p>
      <w:pPr>
        <w:spacing w:after="40" w:before="0"/>
      </w:pPr>
      <w:r>
        <w:rPr>
          <w:rFonts w:ascii="Consolas" w:hAnsi="Consolas"/>
          <w:sz w:val="20"/>
        </w:rPr>
        <w:t>Nombre merchant: Lucid Motors</w:t>
      </w:r>
    </w:p>
    <w:p>
      <w:pPr>
        <w:spacing w:after="40" w:before="0"/>
      </w:pPr>
      <w:r>
        <w:rPr>
          <w:rFonts w:ascii="Consolas" w:hAnsi="Consolas"/>
          <w:sz w:val="20"/>
        </w:rPr>
      </w:r>
    </w:p>
    <w:p>
      <w:pPr>
        <w:spacing w:after="40" w:before="0"/>
      </w:pPr>
      <w:r>
        <w:rPr>
          <w:rFonts w:ascii="Consolas" w:hAnsi="Consolas"/>
          <w:sz w:val="20"/>
        </w:rPr>
        <w:t>SLIDE 1: PAIN POINTS</w:t>
      </w:r>
    </w:p>
    <w:p>
      <w:pPr>
        <w:spacing w:after="40" w:before="0"/>
      </w:pPr>
      <w:r>
        <w:rPr>
          <w:rFonts w:ascii="Consolas" w:hAnsi="Consolas"/>
          <w:sz w:val="20"/>
        </w:rPr>
      </w:r>
    </w:p>
    <w:p>
      <w:pPr>
        <w:spacing w:after="40" w:before="0"/>
      </w:pPr>
      <w:r>
        <w:rPr>
          <w:rFonts w:ascii="Consolas" w:hAnsi="Consolas"/>
          <w:sz w:val="20"/>
        </w:rPr>
        <w:t>Tittle_Pain Point_1: Single PSP Dependency</w:t>
      </w:r>
    </w:p>
    <w:p>
      <w:pPr>
        <w:spacing w:after="40" w:before="0"/>
      </w:pPr>
      <w:r>
        <w:rPr>
          <w:rFonts w:ascii="Consolas" w:hAnsi="Consolas"/>
          <w:sz w:val="20"/>
        </w:rPr>
        <w:t>Tittle_Pain Point_2: DTC Checkout Friction</w:t>
      </w:r>
    </w:p>
    <w:p>
      <w:pPr>
        <w:spacing w:after="40" w:before="0"/>
      </w:pPr>
      <w:r>
        <w:rPr>
          <w:rFonts w:ascii="Consolas" w:hAnsi="Consolas"/>
          <w:sz w:val="20"/>
        </w:rPr>
        <w:t>Tittle_Pain Point_3: Middle East APM Gap</w:t>
      </w:r>
    </w:p>
    <w:p>
      <w:pPr>
        <w:spacing w:after="40" w:before="0"/>
      </w:pPr>
      <w:r>
        <w:rPr>
          <w:rFonts w:ascii="Consolas" w:hAnsi="Consolas"/>
          <w:sz w:val="20"/>
        </w:rPr>
        <w:t>Tittle_Pain Point_4: Cross-Border FX Cost</w:t>
      </w:r>
    </w:p>
    <w:p>
      <w:pPr>
        <w:spacing w:after="40" w:before="0"/>
      </w:pPr>
      <w:r>
        <w:rPr>
          <w:rFonts w:ascii="Consolas" w:hAnsi="Consolas"/>
          <w:sz w:val="20"/>
        </w:rPr>
        <w:t>Tittle_Pain Point_5: Subscription Billing Risk</w:t>
      </w:r>
    </w:p>
    <w:p>
      <w:pPr>
        <w:spacing w:after="40" w:before="0"/>
      </w:pPr>
      <w:r>
        <w:rPr>
          <w:rFonts w:ascii="Consolas" w:hAnsi="Consolas"/>
          <w:sz w:val="20"/>
        </w:rPr>
      </w:r>
    </w:p>
    <w:p>
      <w:pPr>
        <w:spacing w:after="40" w:before="0"/>
      </w:pPr>
      <w:r>
        <w:rPr>
          <w:rFonts w:ascii="Consolas" w:hAnsi="Consolas"/>
          <w:sz w:val="20"/>
        </w:rPr>
        <w:t>Desc_Pain Point_1: Stripe is the sole confirmed payment processor for deposits and vehicle purchases. Any Stripe outage blocks reservation flows for a company that sells 100% direct-to-consumer online.</w:t>
      </w:r>
    </w:p>
    <w:p>
      <w:pPr>
        <w:spacing w:after="40" w:before="0"/>
      </w:pPr>
      <w:r>
        <w:rPr>
          <w:rFonts w:ascii="Consolas" w:hAnsi="Consolas"/>
          <w:sz w:val="20"/>
        </w:rPr>
        <w:t>Desc_Pain Point_2: Vehicle deposits and $70K+ purchases limited to card and ACH/wire. No BNPL, no local wallets, no installment options at checkout for a $1.35B revenue DTC brand expanding to 20 European cities.</w:t>
      </w:r>
    </w:p>
    <w:p>
      <w:pPr>
        <w:spacing w:after="40" w:before="0"/>
      </w:pPr>
      <w:r>
        <w:rPr>
          <w:rFonts w:ascii="Consolas" w:hAnsi="Consolas"/>
          <w:sz w:val="20"/>
        </w:rPr>
        <w:t>Desc_Pain Point_3: Saudi Arabia is Lucid's second-largest market with a dedicated factory. Zero local APMs accepted: no Mada, no STC Pay, no Apple Pay local, no Tamara BNPL despite GCC being a core revenue region.</w:t>
      </w:r>
    </w:p>
    <w:p>
      <w:pPr>
        <w:spacing w:after="40" w:before="0"/>
      </w:pPr>
      <w:r>
        <w:rPr>
          <w:rFonts w:ascii="Consolas" w:hAnsi="Consolas"/>
          <w:sz w:val="20"/>
        </w:rPr>
        <w:t>Desc_Pain Point_4: Expanding to Germany, Belgium, Denmark, and additional European markets with USD-denominated processing. High-value vehicle transactions ($70K+) amplify FX markup into thousands of dollars per order.</w:t>
      </w:r>
    </w:p>
    <w:p>
      <w:pPr>
        <w:spacing w:after="40" w:before="0"/>
      </w:pPr>
      <w:r>
        <w:rPr>
          <w:rFonts w:ascii="Consolas" w:hAnsi="Consolas"/>
          <w:sz w:val="20"/>
        </w:rPr>
        <w:t>Desc_Pain Point_5: Lucid charging subscriptions and upcoming software features launching in 2026 will require recurring billing across US, Saudi, UAE, and EU markets on a single processor with no fallback.</w:t>
      </w:r>
    </w:p>
    <w:p>
      <w:pPr>
        <w:spacing w:after="40" w:before="0"/>
      </w:pPr>
      <w:r>
        <w:rPr>
          <w:rFonts w:ascii="Consolas" w:hAnsi="Consolas"/>
          <w:sz w:val="20"/>
        </w:rPr>
      </w:r>
    </w:p>
    <w:p>
      <w:pPr>
        <w:spacing w:after="40" w:before="0"/>
      </w:pPr>
      <w:r>
        <w:rPr>
          <w:rFonts w:ascii="Consolas" w:hAnsi="Consolas"/>
          <w:sz w:val="20"/>
        </w:rPr>
        <w:t>SLIDE 1: PSP TOPOLOGY</w:t>
      </w:r>
    </w:p>
    <w:p>
      <w:pPr>
        <w:spacing w:after="40" w:before="0"/>
      </w:pPr>
      <w:r>
        <w:rPr>
          <w:rFonts w:ascii="Consolas" w:hAnsi="Consolas"/>
          <w:sz w:val="20"/>
        </w:rPr>
      </w:r>
    </w:p>
    <w:p>
      <w:pPr>
        <w:spacing w:after="40" w:before="0"/>
      </w:pPr>
      <w:r>
        <w:rPr>
          <w:rFonts w:ascii="Consolas" w:hAnsi="Consolas"/>
          <w:sz w:val="20"/>
        </w:rPr>
        <w:t>PSP_1: Stripe</w:t>
      </w:r>
    </w:p>
    <w:p>
      <w:pPr>
        <w:spacing w:after="40" w:before="0"/>
      </w:pPr>
      <w:r>
        <w:rPr>
          <w:rFonts w:ascii="Consolas" w:hAnsi="Consolas"/>
          <w:sz w:val="20"/>
        </w:rPr>
        <w:t>PSP_2: Lucid Financial Services (captive financing)</w:t>
      </w:r>
    </w:p>
    <w:p>
      <w:pPr>
        <w:spacing w:after="40" w:before="0"/>
      </w:pPr>
      <w:r>
        <w:rPr>
          <w:rFonts w:ascii="Consolas" w:hAnsi="Consolas"/>
          <w:sz w:val="20"/>
        </w:rPr>
        <w:t>PSP_3: ACH/E-check (US only)</w:t>
      </w:r>
    </w:p>
    <w:p>
      <w:pPr>
        <w:spacing w:after="40" w:before="0"/>
      </w:pPr>
      <w:r>
        <w:rPr>
          <w:rFonts w:ascii="Consolas" w:hAnsi="Consolas"/>
          <w:sz w:val="20"/>
        </w:rPr>
        <w:t>PSP_4: Wire Transfer (US only, select states)</w:t>
      </w:r>
    </w:p>
    <w:p>
      <w:pPr>
        <w:spacing w:after="40" w:before="0"/>
      </w:pPr>
      <w:r>
        <w:rPr>
          <w:rFonts w:ascii="Consolas" w:hAnsi="Consolas"/>
          <w:sz w:val="20"/>
        </w:rPr>
      </w:r>
    </w:p>
    <w:p>
      <w:pPr>
        <w:spacing w:after="40" w:before="0"/>
      </w:pPr>
      <w:r>
        <w:rPr>
          <w:rFonts w:ascii="Consolas" w:hAnsi="Consolas"/>
          <w:sz w:val="20"/>
        </w:rPr>
        <w:t>SLIDE 1: MISSING LOCAL METHODS (BLIND SPOTS)</w:t>
      </w:r>
    </w:p>
    <w:p>
      <w:pPr>
        <w:spacing w:after="40" w:before="0"/>
      </w:pPr>
      <w:r>
        <w:rPr>
          <w:rFonts w:ascii="Consolas" w:hAnsi="Consolas"/>
          <w:sz w:val="20"/>
        </w:rPr>
      </w:r>
    </w:p>
    <w:p>
      <w:pPr>
        <w:spacing w:after="40" w:before="0"/>
      </w:pPr>
      <w:r>
        <w:rPr>
          <w:rFonts w:ascii="Consolas" w:hAnsi="Consolas"/>
          <w:sz w:val="20"/>
        </w:rPr>
        <w:t>Local_M_1: Mada</w:t>
      </w:r>
    </w:p>
    <w:p>
      <w:pPr>
        <w:spacing w:after="40" w:before="0"/>
      </w:pPr>
      <w:r>
        <w:rPr>
          <w:rFonts w:ascii="Consolas" w:hAnsi="Consolas"/>
          <w:sz w:val="20"/>
        </w:rPr>
        <w:t>Local_M_2: STC Pay</w:t>
      </w:r>
    </w:p>
    <w:p>
      <w:pPr>
        <w:spacing w:after="40" w:before="0"/>
      </w:pPr>
      <w:r>
        <w:rPr>
          <w:rFonts w:ascii="Consolas" w:hAnsi="Consolas"/>
          <w:sz w:val="20"/>
        </w:rPr>
        <w:t>Local_M_3: Tamara BNPL</w:t>
      </w:r>
    </w:p>
    <w:p>
      <w:pPr>
        <w:spacing w:after="40" w:before="0"/>
      </w:pPr>
      <w:r>
        <w:rPr>
          <w:rFonts w:ascii="Consolas" w:hAnsi="Consolas"/>
          <w:sz w:val="20"/>
        </w:rPr>
        <w:t>Local_M_4: SEPA Direct Debit</w:t>
      </w:r>
    </w:p>
    <w:p>
      <w:pPr>
        <w:spacing w:after="40" w:before="0"/>
      </w:pPr>
      <w:r>
        <w:rPr>
          <w:rFonts w:ascii="Consolas" w:hAnsi="Consolas"/>
          <w:sz w:val="20"/>
        </w:rPr>
        <w:t>Local_M_5: Sofort</w:t>
      </w:r>
    </w:p>
    <w:p>
      <w:pPr>
        <w:spacing w:after="40" w:before="0"/>
      </w:pPr>
      <w:r>
        <w:rPr>
          <w:rFonts w:ascii="Consolas" w:hAnsi="Consolas"/>
          <w:sz w:val="20"/>
        </w:rPr>
        <w:t>Local_M_6: iDEAL</w:t>
      </w:r>
    </w:p>
    <w:p>
      <w:pPr>
        <w:spacing w:after="40" w:before="0"/>
      </w:pPr>
      <w:r>
        <w:rPr>
          <w:rFonts w:ascii="Consolas" w:hAnsi="Consolas"/>
          <w:sz w:val="20"/>
        </w:rPr>
        <w:t>Local_M_7: Bancontact</w:t>
      </w:r>
    </w:p>
    <w:p>
      <w:pPr>
        <w:spacing w:after="40" w:before="0"/>
      </w:pPr>
      <w:r>
        <w:rPr>
          <w:rFonts w:ascii="Consolas" w:hAnsi="Consolas"/>
          <w:sz w:val="20"/>
        </w:rPr>
        <w:t>Local_M_8: BLIK</w:t>
      </w:r>
    </w:p>
    <w:p>
      <w:pPr>
        <w:spacing w:after="40" w:before="0"/>
      </w:pPr>
      <w:r>
        <w:rPr>
          <w:rFonts w:ascii="Consolas" w:hAnsi="Consolas"/>
          <w:sz w:val="20"/>
        </w:rPr>
        <w:t>Local_M_9: MobilePay</w:t>
      </w:r>
    </w:p>
    <w:p>
      <w:pPr>
        <w:spacing w:after="40" w:before="0"/>
      </w:pPr>
      <w:r>
        <w:rPr>
          <w:rFonts w:ascii="Consolas" w:hAnsi="Consolas"/>
          <w:sz w:val="20"/>
        </w:rPr>
        <w:t>Local_M_10: Tabby BNPL</w:t>
      </w:r>
    </w:p>
    <w:p>
      <w:pPr>
        <w:spacing w:after="40" w:before="0"/>
      </w:pPr>
      <w:r>
        <w:rPr>
          <w:rFonts w:ascii="Consolas" w:hAnsi="Consolas"/>
          <w:sz w:val="20"/>
        </w:rPr>
      </w:r>
    </w:p>
    <w:p>
      <w:pPr>
        <w:spacing w:after="40" w:before="0"/>
      </w:pPr>
      <w:r>
        <w:rPr>
          <w:rFonts w:ascii="Consolas" w:hAnsi="Consolas"/>
          <w:sz w:val="20"/>
        </w:rPr>
        <w:t>SLIDE 2: YUNO CAPABILITIES</w:t>
      </w:r>
    </w:p>
    <w:p>
      <w:pPr>
        <w:spacing w:after="40" w:before="0"/>
      </w:pPr>
      <w:r>
        <w:rPr>
          <w:rFonts w:ascii="Consolas" w:hAnsi="Consolas"/>
          <w:sz w:val="20"/>
        </w:rPr>
      </w:r>
    </w:p>
    <w:p>
      <w:pPr>
        <w:spacing w:after="40" w:before="0"/>
      </w:pPr>
      <w:r>
        <w:rPr>
          <w:rFonts w:ascii="Consolas" w:hAnsi="Consolas"/>
          <w:sz w:val="20"/>
        </w:rPr>
        <w:t>Tittle_Yuno_Cap1: Smart Routing</w:t>
      </w:r>
    </w:p>
    <w:p>
      <w:pPr>
        <w:spacing w:after="40" w:before="0"/>
      </w:pPr>
      <w:r>
        <w:rPr>
          <w:rFonts w:ascii="Consolas" w:hAnsi="Consolas"/>
          <w:sz w:val="20"/>
        </w:rPr>
        <w:t>Tittle_Yuno_Cap2: Failover &amp; Retries</w:t>
      </w:r>
    </w:p>
    <w:p>
      <w:pPr>
        <w:spacing w:after="40" w:before="0"/>
      </w:pPr>
      <w:r>
        <w:rPr>
          <w:rFonts w:ascii="Consolas" w:hAnsi="Consolas"/>
          <w:sz w:val="20"/>
        </w:rPr>
        <w:t>Tittle_Yuno_Cap3: Local Payment Methods</w:t>
      </w:r>
    </w:p>
    <w:p>
      <w:pPr>
        <w:spacing w:after="40" w:before="0"/>
      </w:pPr>
      <w:r>
        <w:rPr>
          <w:rFonts w:ascii="Consolas" w:hAnsi="Consolas"/>
          <w:sz w:val="20"/>
        </w:rPr>
        <w:t>Tittle_Yuno_Cap4: Unified Orchestration</w:t>
      </w:r>
    </w:p>
    <w:p>
      <w:pPr>
        <w:spacing w:after="40" w:before="0"/>
      </w:pPr>
      <w:r>
        <w:rPr>
          <w:rFonts w:ascii="Consolas" w:hAnsi="Consolas"/>
          <w:sz w:val="20"/>
        </w:rPr>
      </w:r>
    </w:p>
    <w:p>
      <w:pPr>
        <w:spacing w:after="40" w:before="0"/>
      </w:pPr>
      <w:r>
        <w:rPr>
          <w:rFonts w:ascii="Consolas" w:hAnsi="Consolas"/>
          <w:sz w:val="20"/>
        </w:rPr>
        <w:t>Desc_Yuno_Cap1: Route each vehicle deposit and purchase to the best acquirer for that card BIN and country. With $1.35B in 2025 revenue and average transactions above $70K, a 3% auth uplift on high-value orders recovers millions in revenue that would otherwise be lost to declines.</w:t>
      </w:r>
    </w:p>
    <w:p>
      <w:pPr>
        <w:spacing w:after="40" w:before="0"/>
      </w:pPr>
      <w:r>
        <w:rPr>
          <w:rFonts w:ascii="Consolas" w:hAnsi="Consolas"/>
          <w:sz w:val="20"/>
        </w:rPr>
        <w:t>Desc_Yuno_Cap2: When Stripe declines a $70K+ vehicle purchase, Yuno cascades to the next acquirer in milliseconds. The buyer completes checkout seamlessly, never seeing a decline screen. Up to 50% of failed high-value transactions recovered automatically.</w:t>
      </w:r>
    </w:p>
    <w:p>
      <w:pPr>
        <w:spacing w:after="40" w:before="0"/>
      </w:pPr>
      <w:r>
        <w:rPr>
          <w:rFonts w:ascii="Consolas" w:hAnsi="Consolas"/>
          <w:sz w:val="20"/>
        </w:rPr>
        <w:t>Desc_Yuno_Cap3: Activates the APMs Lucid's buyers need in each market: Mada and STC Pay in Saudi Arabia, Tamara BNPL in GCC, SEPA DD in Germany, iDEAL in Netherlands, Bancontact in Belgium, MobilePay in Denmark. One API, 1,000+ methods, zero engineering per market.</w:t>
      </w:r>
    </w:p>
    <w:p>
      <w:pPr>
        <w:spacing w:after="40" w:before="0"/>
      </w:pPr>
      <w:r>
        <w:rPr>
          <w:rFonts w:ascii="Consolas" w:hAnsi="Consolas"/>
          <w:sz w:val="20"/>
        </w:rPr>
        <w:t>Desc_Yuno_Cap4: Single dashboard replacing Lucid's fragmented Stripe + Lucid Financial Services + ACH + wire transfer streams. Real-time approval monitoring across US, Saudi, UAE, and EU markets, centralized reconciliation, millisecond anomaly detection via NOVA.</w:t>
      </w:r>
    </w:p>
    <w:p>
      <w:r>
        <w:t>____________________________________________________________</w:t>
      </w:r>
    </w:p>
    <w:p>
      <w:pPr>
        <w:pStyle w:val="Heading2"/>
      </w:pPr>
      <w:r>
        <w:t>RESEARCH BACKING | Key Facts for the Meeting</w:t>
      </w:r>
    </w:p>
    <w:p>
      <w:r>
        <w:rPr>
          <w:b/>
        </w:rPr>
        <w:t>Lucid Motors at a glance:</w:t>
      </w:r>
    </w:p>
    <w:p>
      <w:pPr>
        <w:pStyle w:val="ListBullet"/>
      </w:pPr>
      <w:r>
        <w:t>Founded 2007 (as Atieva), HQ Newark, CA. Public: NASDAQ LCID</w:t>
      </w:r>
    </w:p>
    <w:p>
      <w:pPr>
        <w:pStyle w:val="ListBullet"/>
      </w:pPr>
      <w:r>
        <w:t>Revenue: $1.35B (FY2025), up 68% YoY. Q4 2025: $522.7M (up 123% YoY)</w:t>
      </w:r>
    </w:p>
    <w:p>
      <w:pPr>
        <w:pStyle w:val="ListBullet"/>
      </w:pPr>
      <w:r>
        <w:t>Delivered 15,841 vehicles in 2025. 2026 guidance: 25,000 to 27,000 vehicles</w:t>
      </w:r>
    </w:p>
    <w:p>
      <w:pPr>
        <w:pStyle w:val="ListBullet"/>
      </w:pPr>
      <w:r>
        <w:t>100% direct-to-consumer sales model (online configurator + Lucid Studios)</w:t>
      </w:r>
    </w:p>
    <w:p>
      <w:pPr>
        <w:pStyle w:val="ListBullet"/>
      </w:pPr>
      <w:r>
        <w:t>64 Studio and Service Center locations globally</w:t>
      </w:r>
    </w:p>
    <w:p>
      <w:pPr>
        <w:pStyle w:val="ListBullet"/>
      </w:pPr>
      <w:r>
        <w:t>Manufacturing: Casa Grande, AZ (US) + King Abdullah Economic City (Saudi Arabia, 150K/yr capacity planned)</w:t>
      </w:r>
    </w:p>
    <w:p>
      <w:pPr>
        <w:pStyle w:val="ListBullet"/>
      </w:pPr>
      <w:r>
        <w:t>New mid-range SUV (~$48K to $50K) production starting 2026</w:t>
      </w:r>
    </w:p>
    <w:p>
      <w:pPr>
        <w:pStyle w:val="ListBullet"/>
      </w:pPr>
      <w:r>
        <w:t>Saudi Arabia PIF (Public Investment Fund) is majority shareholder (~60%)</w:t>
      </w:r>
    </w:p>
    <w:p>
      <w:pPr>
        <w:pStyle w:val="ListBullet"/>
      </w:pPr>
      <w:r>
        <w:t>Expanding to ~20 European cities by end 2026 (from 8 currently)</w:t>
      </w:r>
    </w:p>
    <w:p>
      <w:pPr>
        <w:pStyle w:val="ListBullet"/>
      </w:pPr>
      <w:r>
        <w:t>CEO: Peter Rawlinson (also CTO)</w:t>
      </w:r>
    </w:p>
    <w:p>
      <w:r>
        <w:rPr>
          <w:b/>
        </w:rPr>
        <w:t>Confirmed PSPs:</w:t>
      </w:r>
    </w:p>
    <w:p>
      <w:pPr>
        <w:pStyle w:val="ListBullet"/>
      </w:pPr>
      <w:r>
        <w:t>Stripe: primary payment processor for vehicle deposits and purchases (confirmed via privacy policy and Salesforce integration)</w:t>
      </w:r>
    </w:p>
    <w:p>
      <w:pPr>
        <w:pStyle w:val="ListBullet"/>
      </w:pPr>
      <w:r>
        <w:t>Cookies set by Stripe upon deposit link redirect</w:t>
      </w:r>
    </w:p>
    <w:p>
      <w:pPr>
        <w:pStyle w:val="ListBullet"/>
      </w:pPr>
      <w:r>
        <w:t>Lucid Financial Services: captive auto financing (loans and leases)</w:t>
      </w:r>
    </w:p>
    <w:p>
      <w:pPr>
        <w:pStyle w:val="ListBullet"/>
      </w:pPr>
      <w:r>
        <w:t>ACH/E-check: US only</w:t>
      </w:r>
    </w:p>
    <w:p>
      <w:pPr>
        <w:pStyle w:val="ListBullet"/>
      </w:pPr>
      <w:r>
        <w:t>Wire transfer / cashier's check: US only (CA, CO, FL, AZ, IL, VA)</w:t>
      </w:r>
    </w:p>
    <w:p>
      <w:pPr>
        <w:pStyle w:val="ListBullet"/>
      </w:pPr>
      <w:r>
        <w:t>Braintree: mentioned in Lucid forum context but not confirmed for main site</w:t>
      </w:r>
    </w:p>
    <w:p>
      <w:pPr>
        <w:pStyle w:val="ListBullet"/>
      </w:pPr>
      <w:r>
        <w:t>No payment orchestrator detected</w:t>
      </w:r>
    </w:p>
    <w:p>
      <w:r>
        <w:rPr>
          <w:b/>
        </w:rPr>
        <w:t>Top 5 Markets Gap Analysis:</w:t>
      </w:r>
    </w:p>
    <w:p>
      <w:r>
        <w:t>MARKET 1: United States (primary market, ~60% of sales)</w:t>
      </w:r>
    </w:p>
    <w:p>
      <w:pPr>
        <w:ind w:left="720"/>
      </w:pPr>
      <w:r>
        <w:t>OK Currently offer: Credit/debit card (via Stripe), ACH, wire, Lucid Financial Services</w:t>
      </w:r>
    </w:p>
    <w:p>
      <w:pPr>
        <w:ind w:left="720"/>
      </w:pPr>
      <w:r>
        <w:t>Missing: Apple Pay checkout, BNPL options (Affirm, Klarna)</w:t>
      </w:r>
    </w:p>
    <w:p>
      <w:pPr>
        <w:ind w:left="720"/>
      </w:pPr>
      <w:r>
        <w:t>Note: $70K+ average transaction; high-value declines are costly</w:t>
      </w:r>
    </w:p>
    <w:p>
      <w:r>
        <w:t>MARKET 2: Saudi Arabia (second-largest market, dedicated factory)</w:t>
      </w:r>
    </w:p>
    <w:p>
      <w:pPr>
        <w:ind w:left="720"/>
      </w:pPr>
      <w:r>
        <w:t>OK Currently offer: Credit/debit card (via Stripe)</w:t>
      </w:r>
    </w:p>
    <w:p>
      <w:pPr>
        <w:ind w:left="720"/>
      </w:pPr>
      <w:r>
        <w:t>Missing: Mada (Saudi debit network), STC Pay, Tamara BNPL, Tabby BNPL, Apple Pay local</w:t>
      </w:r>
    </w:p>
    <w:p>
      <w:pPr>
        <w:ind w:left="720"/>
      </w:pPr>
      <w:r>
        <w:t>Note: Saudi PIF owns ~60% of Lucid. Local payment acceptance is a strategic imperative</w:t>
      </w:r>
    </w:p>
    <w:p>
      <w:r>
        <w:t>MARKET 3: UAE (active GCC market)</w:t>
      </w:r>
    </w:p>
    <w:p>
      <w:pPr>
        <w:ind w:left="720"/>
      </w:pPr>
      <w:r>
        <w:t>OK Currently offer: Credit/debit card</w:t>
      </w:r>
    </w:p>
    <w:p>
      <w:pPr>
        <w:ind w:left="720"/>
      </w:pPr>
      <w:r>
        <w:t>Missing: Tabby BNPL, Tamara, Apple Pay local, Samsung Pay</w:t>
      </w:r>
    </w:p>
    <w:p>
      <w:pPr>
        <w:ind w:left="720"/>
      </w:pPr>
      <w:r>
        <w:t>Note: Lucid Studios in Abu Dhabi; expanding to additional UAE locations</w:t>
      </w:r>
    </w:p>
    <w:p>
      <w:r>
        <w:t>MARKET 4: Germany (European expansion hub)</w:t>
      </w:r>
    </w:p>
    <w:p>
      <w:pPr>
        <w:ind w:left="720"/>
      </w:pPr>
      <w:r>
        <w:t>OK Currently offer: Credit/debit card</w:t>
      </w:r>
    </w:p>
    <w:p>
      <w:pPr>
        <w:ind w:left="720"/>
      </w:pPr>
      <w:r>
        <w:t>Missing: SEPA Direct Debit, Sofort, GiroPay, Klarna</w:t>
      </w:r>
    </w:p>
    <w:p>
      <w:pPr>
        <w:ind w:left="720"/>
      </w:pPr>
      <w:r>
        <w:t>Note: Expanding Studios and service centers in Germany; ~35% credit card penetration</w:t>
      </w:r>
    </w:p>
    <w:p>
      <w:r>
        <w:t>MARKET 5: Denmark/Belgium (new 2026 markets)</w:t>
      </w:r>
    </w:p>
    <w:p>
      <w:pPr>
        <w:ind w:left="720"/>
      </w:pPr>
      <w:r>
        <w:t>OK Currently offer: Credit/debit card</w:t>
      </w:r>
    </w:p>
    <w:p>
      <w:pPr>
        <w:ind w:left="720"/>
      </w:pPr>
      <w:r>
        <w:t>Missing: MobilePay (Denmark), Bancontact (Belgium), SEPA DD</w:t>
      </w:r>
    </w:p>
    <w:p>
      <w:pPr>
        <w:ind w:left="720"/>
      </w:pPr>
      <w:r>
        <w:t>Note: Entering in 2026; local APMs needed from day one for optimal conversion</w:t>
      </w:r>
    </w:p>
    <w:p>
      <w:r>
        <w:rPr>
          <w:b/>
        </w:rPr>
        <w:t>Key meeting angles:</w:t>
      </w:r>
    </w:p>
    <w:p>
      <w:pPr>
        <w:pStyle w:val="ListNumber"/>
      </w:pPr>
      <w:r>
        <w:t>1. **High-value transaction risk** | $70K+ vehicle purchases on a single processor with no failover. One decline = one lost car sale.</w:t>
      </w:r>
    </w:p>
    <w:p>
      <w:pPr>
        <w:pStyle w:val="ListNumber"/>
      </w:pPr>
      <w:r>
        <w:t>2. **Saudi factory alignment** | PIF owns 60% of Lucid and the Saudi factory is operational. Accepting Mada and STC Pay is a natural fit.</w:t>
      </w:r>
    </w:p>
    <w:p>
      <w:pPr>
        <w:pStyle w:val="ListNumber"/>
      </w:pPr>
      <w:r>
        <w:t>3. **European expansion velocity** | Going from 8 to 20 cities in 2026 requires local payment acceptance at scale, not country-by-country integrations.</w:t>
      </w:r>
    </w:p>
    <w:p>
      <w:pPr>
        <w:pStyle w:val="ListNumber"/>
      </w:pPr>
      <w:r>
        <w:t>4. **Subscription revenue launch** | Charging subscriptions and software features in 2026 need multi-market recurring billing infrastructure.</w:t>
      </w:r>
    </w:p>
    <w:p>
      <w:pPr>
        <w:pStyle w:val="ListNumber"/>
      </w:pPr>
      <w:r>
        <w:t>5. **DTC model dependency** | No dealer buffer. Every payment failure is Lucid's problem, not a dealership's.</w:t>
      </w:r>
    </w:p>
    <w:p>
      <w:pPr>
        <w:pStyle w:val="ListNumber"/>
      </w:pPr>
      <w:r>
        <w:t>6. **BNPL for mid-range SUV** | New $48K to $50K SUV launching 2026 targets a broader buyer profile that expects BNPL and installment options.</w:t>
      </w:r>
    </w:p>
    <w:p>
      <w:r>
        <w:rPr>
          <w:b/>
        </w:rPr>
        <w:t>Sources:</w:t>
      </w:r>
    </w:p>
    <w:p>
      <w:pPr>
        <w:pStyle w:val="ListBullet"/>
      </w:pPr>
      <w:r>
        <w:t>[Lucid Motors Legal/Privacy](https://lucidmotors.com/legal)</w:t>
      </w:r>
    </w:p>
    <w:p>
      <w:pPr>
        <w:pStyle w:val="ListBullet"/>
      </w:pPr>
      <w:r>
        <w:t>[Lucid Motors Privacy (Saudi)](https://lucidmotors.com/en-sa/legal)</w:t>
      </w:r>
    </w:p>
    <w:p>
      <w:pPr>
        <w:pStyle w:val="ListBullet"/>
      </w:pPr>
      <w:r>
        <w:t>[Lucid Financial Services](https://lucidmotors.com/knowledge/shop/ways-of-buying/financial-services)</w:t>
      </w:r>
    </w:p>
    <w:p>
      <w:pPr>
        <w:pStyle w:val="ListBullet"/>
      </w:pPr>
      <w:r>
        <w:t>[Lucid Configurator](https://lucidmotors.com/configure)</w:t>
      </w:r>
    </w:p>
    <w:p>
      <w:pPr>
        <w:pStyle w:val="ListBullet"/>
      </w:pPr>
      <w:r>
        <w:t>[Lucid Studios and Service Centers](https://lucidmotors.com/locations)</w:t>
      </w:r>
    </w:p>
    <w:p>
      <w:pPr>
        <w:pStyle w:val="ListBullet"/>
      </w:pPr>
      <w:r>
        <w:t>[Lucid Q4 and FY2025 Results](https://ir.lucidmotors.com/news-releases/news-release-details/lucid-announces-fourth-quarter-and-full-year-2025-financial/)</w:t>
      </w:r>
    </w:p>
    <w:p>
      <w:pPr>
        <w:pStyle w:val="ListBullet"/>
      </w:pPr>
      <w:r>
        <w:t>[Lucid European Expansion](https://eletric-vehicles.com/lucid/lucid-to-expand-to-new-european-and-middle-east-countries-this-year-ceo-says/)</w:t>
      </w:r>
    </w:p>
    <w:p>
      <w:pPr>
        <w:pStyle w:val="ListBullet"/>
      </w:pPr>
      <w:r>
        <w:t>[Lucid Saudi Factory Expansion](https://insideevs.com/news/759746/lucid-saudi-plant-expansion-europe/)</w:t>
      </w:r>
    </w:p>
    <w:p>
      <w:pPr>
        <w:pStyle w:val="ListBullet"/>
      </w:pPr>
      <w:r>
        <w:t>[Lucid Subscription Features 2026](https://eletric-vehicles.com/lucid/lucids-feature-sparks-debate-as-subscription-charges-set-to-begin-in-2026/)</w:t>
      </w:r>
    </w:p>
    <w:p>
      <w:pPr>
        <w:pStyle w:val="ListBullet"/>
      </w:pPr>
      <w:r>
        <w:t>[Lucid Revenue (Electrive)](https://www.electrive.com/2026/02/25/lucid-reports-68-revenue-growth-and-stable-losses-in-2025/)</w:t>
      </w:r>
    </w:p>
    <w:p>
      <w:pPr>
        <w:pStyle w:val="ListBullet"/>
      </w:pPr>
      <w:r>
        <w:t>[Lucid CNBC Q4 2025](https://www.cnbc.com/2026/02/24/lucid-lcid-q4-2025-results-.html)</w:t>
      </w:r>
    </w:p>
    <w:p>
      <w:pPr>
        <w:pStyle w:val="ListBullet"/>
      </w:pPr>
      <w:r>
        <w:t>[Lucid Logo](https://companieslogo.com/lucid-motors/logo/)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