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i w:val="0"/>
          <w:color w:val="5B4CFF"/>
          <w:sz w:val="32"/>
        </w:rPr>
        <w:t>MONGODB | Stripe Sessions Research (SS Database Format)</w:t>
      </w:r>
    </w:p>
    <w:p>
      <w:pPr>
        <w:spacing w:after="240"/>
      </w:pPr>
      <w:r>
        <w:rPr>
          <w:rFonts w:ascii="Calibri" w:hAnsi="Calibri"/>
          <w:b w:val="0"/>
          <w:i/>
          <w:color w:val="999999"/>
          <w:sz w:val="20"/>
        </w:rPr>
        <w:t>Generated: 2026-04-21</w:t>
      </w:r>
    </w:p>
    <w:p>
      <w:pPr>
        <w:spacing w:before="80" w:after="80"/>
      </w:pPr>
      <w:r>
        <w:rPr>
          <w:rFonts w:ascii="Calibri" w:hAnsi="Calibri"/>
          <w:b/>
          <w:i w:val="0"/>
          <w:sz w:val="20"/>
        </w:rPr>
        <w:t>═══════════════════════════════════════</w:t>
      </w:r>
    </w:p>
    <w:p>
      <w:pPr>
        <w:spacing w:before="40" w:after="40"/>
      </w:pPr>
      <w:r>
        <w:rPr>
          <w:rFonts w:ascii="Calibri" w:hAnsi="Calibri"/>
          <w:b/>
          <w:i w:val="0"/>
          <w:color w:val="5B4CFF"/>
          <w:sz w:val="28"/>
        </w:rPr>
        <w:t>DATABASE FIELDS: MongoDB</w:t>
      </w:r>
    </w:p>
    <w:p>
      <w:pPr>
        <w:spacing w:before="80" w:after="80"/>
      </w:pPr>
      <w:r>
        <w:rPr>
          <w:rFonts w:ascii="Calibri" w:hAnsi="Calibri"/>
          <w:b/>
          <w:i w:val="0"/>
          <w:sz w:val="20"/>
        </w:rPr>
        <w:t>═══════════════════════════════════════</w:t>
      </w:r>
    </w:p>
    <w:p/>
    <w:p>
      <w:pPr>
        <w:shd w:fill="F2F2F2" w:val="clear"/>
      </w:pPr>
      <w:r>
        <w:rPr>
          <w:rFonts w:ascii="Calibri" w:hAnsi="Calibri"/>
          <w:b/>
          <w:i w:val="0"/>
          <w:color w:val="5B4CFF"/>
          <w:sz w:val="20"/>
        </w:rPr>
        <w:t xml:space="preserve">Logo: </w:t>
      </w:r>
      <w:r>
        <w:rPr>
          <w:rFonts w:ascii="Calibri" w:hAnsi="Calibri"/>
          <w:b w:val="0"/>
          <w:i w:val="0"/>
          <w:sz w:val="20"/>
        </w:rPr>
        <w:t>https://webimages.mongodb.com/_com_assets/cms/kuyjf3vea2hg34taa-horizontal_default_slate_blue.svg?auto=format%252Ccompress</w:t>
      </w:r>
      <w:r>
        <w:rPr>
          <w:rFonts w:ascii="Calibri" w:hAnsi="Calibri"/>
          <w:b w:val="0"/>
          <w:i/>
          <w:color w:val="999999"/>
          <w:sz w:val="16"/>
        </w:rPr>
        <w:t xml:space="preserve">  [122 chars]</w:t>
      </w:r>
    </w:p>
    <w:p>
      <w:pPr>
        <w:shd w:fill="F2F2F2" w:val="clear"/>
      </w:pPr>
      <w:r>
        <w:rPr>
          <w:rFonts w:ascii="Calibri" w:hAnsi="Calibri"/>
          <w:b/>
          <w:i w:val="0"/>
          <w:color w:val="5B4CFF"/>
          <w:sz w:val="20"/>
        </w:rPr>
        <w:t xml:space="preserve">Nombre merchant: </w:t>
      </w:r>
      <w:r>
        <w:rPr>
          <w:rFonts w:ascii="Calibri" w:hAnsi="Calibri"/>
          <w:b w:val="0"/>
          <w:i w:val="0"/>
          <w:sz w:val="20"/>
        </w:rPr>
        <w:t>MongoDB</w:t>
      </w:r>
      <w:r>
        <w:rPr>
          <w:rFonts w:ascii="Calibri" w:hAnsi="Calibri"/>
          <w:b w:val="0"/>
          <w:i/>
          <w:color w:val="999999"/>
          <w:sz w:val="16"/>
        </w:rPr>
        <w:t xml:space="preserve">  [7 chars]</w:t>
      </w:r>
    </w:p>
    <w:p/>
    <w:p>
      <w:pPr>
        <w:spacing w:after="120"/>
      </w:pPr>
      <w:r>
        <w:rPr>
          <w:rFonts w:ascii="Calibri" w:hAnsi="Calibri"/>
          <w:b/>
          <w:i w:val="0"/>
          <w:color w:val="5B4CFF"/>
          <w:sz w:val="26"/>
        </w:rPr>
        <w:t>SLIDE 1: PAIN POINTS</w:t>
      </w:r>
    </w:p>
    <w:p>
      <w:pPr>
        <w:shd w:fill="F2F2F2" w:val="clear"/>
      </w:pPr>
      <w:r>
        <w:rPr>
          <w:rFonts w:ascii="Calibri" w:hAnsi="Calibri"/>
          <w:b/>
          <w:i w:val="0"/>
          <w:color w:val="5B4CFF"/>
          <w:sz w:val="20"/>
        </w:rPr>
        <w:t xml:space="preserve">Tittle_Pain Point_1: </w:t>
      </w:r>
      <w:r>
        <w:rPr>
          <w:rFonts w:ascii="Calibri" w:hAnsi="Calibri"/>
          <w:b w:val="0"/>
          <w:i w:val="0"/>
          <w:sz w:val="20"/>
        </w:rPr>
        <w:t>Usage Billing Complexity</w:t>
      </w:r>
      <w:r>
        <w:rPr>
          <w:rFonts w:ascii="Calibri" w:hAnsi="Calibri"/>
          <w:b w:val="0"/>
          <w:i/>
          <w:color w:val="999999"/>
          <w:sz w:val="16"/>
        </w:rPr>
        <w:t xml:space="preserve">  [24 chars]</w:t>
      </w:r>
    </w:p>
    <w:p>
      <w:pPr>
        <w:shd w:fill="F2F2F2" w:val="clear"/>
      </w:pPr>
      <w:r>
        <w:rPr>
          <w:rFonts w:ascii="Calibri" w:hAnsi="Calibri"/>
          <w:b/>
          <w:i w:val="0"/>
          <w:color w:val="5B4CFF"/>
          <w:sz w:val="20"/>
        </w:rPr>
        <w:t xml:space="preserve">Tittle_Pain Point_2: </w:t>
      </w:r>
      <w:r>
        <w:rPr>
          <w:rFonts w:ascii="Calibri" w:hAnsi="Calibri"/>
          <w:b w:val="0"/>
          <w:i w:val="0"/>
          <w:sz w:val="20"/>
        </w:rPr>
        <w:t>Cross-Border Declines</w:t>
      </w:r>
      <w:r>
        <w:rPr>
          <w:rFonts w:ascii="Calibri" w:hAnsi="Calibri"/>
          <w:b w:val="0"/>
          <w:i/>
          <w:color w:val="999999"/>
          <w:sz w:val="16"/>
        </w:rPr>
        <w:t xml:space="preserve">  [21 chars]</w:t>
      </w:r>
    </w:p>
    <w:p>
      <w:pPr>
        <w:shd w:fill="F2F2F2" w:val="clear"/>
      </w:pPr>
      <w:r>
        <w:rPr>
          <w:rFonts w:ascii="Calibri" w:hAnsi="Calibri"/>
          <w:b/>
          <w:i w:val="0"/>
          <w:color w:val="5B4CFF"/>
          <w:sz w:val="20"/>
        </w:rPr>
        <w:t xml:space="preserve">Tittle_Pain Point_3: </w:t>
      </w:r>
      <w:r>
        <w:rPr>
          <w:rFonts w:ascii="Calibri" w:hAnsi="Calibri"/>
          <w:b w:val="0"/>
          <w:i w:val="0"/>
          <w:sz w:val="20"/>
        </w:rPr>
        <w:t>Limited Self-Serve APMs</w:t>
      </w:r>
      <w:r>
        <w:rPr>
          <w:rFonts w:ascii="Calibri" w:hAnsi="Calibri"/>
          <w:b w:val="0"/>
          <w:i/>
          <w:color w:val="999999"/>
          <w:sz w:val="16"/>
        </w:rPr>
        <w:t xml:space="preserve">  [23 chars]</w:t>
      </w:r>
    </w:p>
    <w:p>
      <w:pPr>
        <w:shd w:fill="F2F2F2" w:val="clear"/>
      </w:pPr>
      <w:r>
        <w:rPr>
          <w:rFonts w:ascii="Calibri" w:hAnsi="Calibri"/>
          <w:b/>
          <w:i w:val="0"/>
          <w:color w:val="5B4CFF"/>
          <w:sz w:val="20"/>
        </w:rPr>
        <w:t xml:space="preserve">Tittle_Pain Point_4: </w:t>
      </w:r>
      <w:r>
        <w:rPr>
          <w:rFonts w:ascii="Calibri" w:hAnsi="Calibri"/>
          <w:b w:val="0"/>
          <w:i w:val="0"/>
          <w:sz w:val="20"/>
        </w:rPr>
        <w:t>No Acquirer Redundancy</w:t>
      </w:r>
      <w:r>
        <w:rPr>
          <w:rFonts w:ascii="Calibri" w:hAnsi="Calibri"/>
          <w:b w:val="0"/>
          <w:i/>
          <w:color w:val="999999"/>
          <w:sz w:val="16"/>
        </w:rPr>
        <w:t xml:space="preserve">  [22 chars]</w:t>
      </w:r>
    </w:p>
    <w:p>
      <w:pPr>
        <w:shd w:fill="F2F2F2" w:val="clear"/>
      </w:pPr>
      <w:r>
        <w:rPr>
          <w:rFonts w:ascii="Calibri" w:hAnsi="Calibri"/>
          <w:b/>
          <w:i w:val="0"/>
          <w:color w:val="5B4CFF"/>
          <w:sz w:val="20"/>
        </w:rPr>
        <w:t xml:space="preserve">Tittle_Pain Point_5: </w:t>
      </w:r>
      <w:r>
        <w:rPr>
          <w:rFonts w:ascii="Calibri" w:hAnsi="Calibri"/>
          <w:b w:val="0"/>
          <w:i w:val="0"/>
          <w:sz w:val="20"/>
        </w:rPr>
        <w:t>SCA Friction in Europe</w:t>
      </w:r>
      <w:r>
        <w:rPr>
          <w:rFonts w:ascii="Calibri" w:hAnsi="Calibri"/>
          <w:b w:val="0"/>
          <w:i/>
          <w:color w:val="999999"/>
          <w:sz w:val="16"/>
        </w:rPr>
        <w:t xml:space="preserve">  [22 chars]</w:t>
      </w:r>
    </w:p>
    <w:p/>
    <w:p>
      <w:pPr>
        <w:shd w:fill="F2F2F2" w:val="clear"/>
      </w:pPr>
      <w:r>
        <w:rPr>
          <w:rFonts w:ascii="Calibri" w:hAnsi="Calibri"/>
          <w:b/>
          <w:i w:val="0"/>
          <w:color w:val="5B4CFF"/>
          <w:sz w:val="20"/>
        </w:rPr>
        <w:t xml:space="preserve">Desc_Pain Point_1: </w:t>
      </w:r>
      <w:r>
        <w:rPr>
          <w:rFonts w:ascii="Calibri" w:hAnsi="Calibri"/>
          <w:b w:val="0"/>
          <w:i w:val="0"/>
          <w:sz w:val="20"/>
        </w:rPr>
        <w:t>Atlas bills on consumption (storage, compute, data transfer) across 62,500+ customers. Variable monthly charges trigger more fraud flags than fixed SaaS subscriptions, increasing false decline rates on card renewals.</w:t>
      </w:r>
    </w:p>
    <w:p>
      <w:pPr>
        <w:shd w:fill="F2F2F2" w:val="clear"/>
        <w:spacing w:before="0" w:after="120"/>
      </w:pPr>
      <w:r>
        <w:rPr>
          <w:rFonts w:ascii="Calibri" w:hAnsi="Calibri"/>
          <w:b w:val="0"/>
          <w:i/>
          <w:color w:val="999999"/>
          <w:sz w:val="16"/>
        </w:rPr>
        <w:t>[216 chars]</w:t>
      </w:r>
    </w:p>
    <w:p>
      <w:pPr>
        <w:shd w:fill="F2F2F2" w:val="clear"/>
      </w:pPr>
      <w:r>
        <w:rPr>
          <w:rFonts w:ascii="Calibri" w:hAnsi="Calibri"/>
          <w:b/>
          <w:i w:val="0"/>
          <w:color w:val="5B4CFF"/>
          <w:sz w:val="20"/>
        </w:rPr>
        <w:t xml:space="preserve">Desc_Pain Point_2: </w:t>
      </w:r>
      <w:r>
        <w:rPr>
          <w:rFonts w:ascii="Calibri" w:hAnsi="Calibri"/>
          <w:b w:val="0"/>
          <w:i w:val="0"/>
          <w:sz w:val="20"/>
        </w:rPr>
        <w:t>40% of revenue comes from EMEA and APAC, but self-serve billing routes through US-based card processing. International cards face higher issuer declines on cross-border transactions billed in USD.</w:t>
      </w:r>
    </w:p>
    <w:p>
      <w:pPr>
        <w:shd w:fill="F2F2F2" w:val="clear"/>
        <w:spacing w:before="0" w:after="120"/>
      </w:pPr>
      <w:r>
        <w:rPr>
          <w:rFonts w:ascii="Calibri" w:hAnsi="Calibri"/>
          <w:b w:val="0"/>
          <w:i/>
          <w:color w:val="999999"/>
          <w:sz w:val="16"/>
        </w:rPr>
        <w:t>[196 chars]</w:t>
      </w:r>
    </w:p>
    <w:p>
      <w:pPr>
        <w:shd w:fill="F2F2F2" w:val="clear"/>
      </w:pPr>
      <w:r>
        <w:rPr>
          <w:rFonts w:ascii="Calibri" w:hAnsi="Calibri"/>
          <w:b/>
          <w:i w:val="0"/>
          <w:color w:val="5B4CFF"/>
          <w:sz w:val="20"/>
        </w:rPr>
        <w:t xml:space="preserve">Desc_Pain Point_3: </w:t>
      </w:r>
      <w:r>
        <w:rPr>
          <w:rFonts w:ascii="Calibri" w:hAnsi="Calibri"/>
          <w:b w:val="0"/>
          <w:i w:val="0"/>
          <w:sz w:val="20"/>
        </w:rPr>
        <w:t>Self-serve Atlas customers can only pay with credit card or PayPal. No SEPA DD, no Pix, no UPI, no local bank transfers. Developers in emerging markets are blocked at the billing step.</w:t>
      </w:r>
    </w:p>
    <w:p>
      <w:pPr>
        <w:shd w:fill="F2F2F2" w:val="clear"/>
        <w:spacing w:before="0" w:after="120"/>
      </w:pPr>
      <w:r>
        <w:rPr>
          <w:rFonts w:ascii="Calibri" w:hAnsi="Calibri"/>
          <w:b w:val="0"/>
          <w:i/>
          <w:color w:val="999999"/>
          <w:sz w:val="16"/>
        </w:rPr>
        <w:t>[184 chars]</w:t>
      </w:r>
    </w:p>
    <w:p>
      <w:pPr>
        <w:shd w:fill="F2F2F2" w:val="clear"/>
      </w:pPr>
      <w:r>
        <w:rPr>
          <w:rFonts w:ascii="Calibri" w:hAnsi="Calibri"/>
          <w:b/>
          <w:i w:val="0"/>
          <w:color w:val="5B4CFF"/>
          <w:sz w:val="20"/>
        </w:rPr>
        <w:t xml:space="preserve">Desc_Pain Point_4: </w:t>
      </w:r>
      <w:r>
        <w:rPr>
          <w:rFonts w:ascii="Calibri" w:hAnsi="Calibri"/>
          <w:b w:val="0"/>
          <w:i w:val="0"/>
          <w:sz w:val="20"/>
        </w:rPr>
        <w:t>Single payment processor for all self-serve billing with no failover path. Any processor outage blocks new Atlas sign-ups and existing cluster upgrades for 62,500+ customers worldwide.</w:t>
      </w:r>
    </w:p>
    <w:p>
      <w:pPr>
        <w:shd w:fill="F2F2F2" w:val="clear"/>
        <w:spacing w:before="0" w:after="120"/>
      </w:pPr>
      <w:r>
        <w:rPr>
          <w:rFonts w:ascii="Calibri" w:hAnsi="Calibri"/>
          <w:b w:val="0"/>
          <w:i/>
          <w:color w:val="999999"/>
          <w:sz w:val="16"/>
        </w:rPr>
        <w:t>[184 chars]</w:t>
      </w:r>
    </w:p>
    <w:p>
      <w:pPr>
        <w:shd w:fill="F2F2F2" w:val="clear"/>
      </w:pPr>
      <w:r>
        <w:rPr>
          <w:rFonts w:ascii="Calibri" w:hAnsi="Calibri"/>
          <w:b/>
          <w:i w:val="0"/>
          <w:color w:val="5B4CFF"/>
          <w:sz w:val="20"/>
        </w:rPr>
        <w:t xml:space="preserve">Desc_Pain Point_5: </w:t>
      </w:r>
      <w:r>
        <w:rPr>
          <w:rFonts w:ascii="Calibri" w:hAnsi="Calibri"/>
          <w:b w:val="0"/>
          <w:i w:val="0"/>
          <w:sz w:val="20"/>
        </w:rPr>
        <w:t>European Atlas customers face payment failures from Strong Customer Authentication requirements. SCA-triggered 3DS challenges on recurring usage charges increase involuntary churn across EEA markets.</w:t>
      </w:r>
    </w:p>
    <w:p>
      <w:pPr>
        <w:shd w:fill="F2F2F2" w:val="clear"/>
        <w:spacing w:before="0" w:after="120"/>
      </w:pPr>
      <w:r>
        <w:rPr>
          <w:rFonts w:ascii="Calibri" w:hAnsi="Calibri"/>
          <w:b w:val="0"/>
          <w:i/>
          <w:color w:val="999999"/>
          <w:sz w:val="16"/>
        </w:rPr>
        <w:t>[199 chars]</w:t>
      </w:r>
    </w:p>
    <w:p/>
    <w:p>
      <w:pPr>
        <w:spacing w:after="120"/>
      </w:pPr>
      <w:r>
        <w:rPr>
          <w:rFonts w:ascii="Calibri" w:hAnsi="Calibri"/>
          <w:b/>
          <w:i w:val="0"/>
          <w:color w:val="5B4CFF"/>
          <w:sz w:val="26"/>
        </w:rPr>
        <w:t>SLIDE 1: PSP TOPOLOGY</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PSP_1</w:t>
            </w:r>
          </w:p>
        </w:tc>
        <w:tc>
          <w:tcPr>
            <w:tcW w:type="dxa" w:w="4320"/>
          </w:tcPr>
          <w:p>
            <w:r>
              <w:rPr>
                <w:rFonts w:ascii="Calibri" w:hAnsi="Calibri"/>
                <w:b w:val="0"/>
                <w:i w:val="0"/>
                <w:sz w:val="20"/>
              </w:rPr>
              <w:t>Stripe (likely primary, self-serve)</w:t>
            </w:r>
          </w:p>
        </w:tc>
      </w:tr>
      <w:tr>
        <w:tc>
          <w:tcPr>
            <w:tcW w:type="dxa" w:w="4320"/>
            <w:shd w:fill="F2F2F2" w:val="clear"/>
          </w:tcPr>
          <w:p>
            <w:r>
              <w:rPr>
                <w:rFonts w:ascii="Calibri" w:hAnsi="Calibri"/>
                <w:b/>
                <w:i w:val="0"/>
                <w:sz w:val="20"/>
              </w:rPr>
              <w:t>PSP_2</w:t>
            </w:r>
          </w:p>
        </w:tc>
        <w:tc>
          <w:tcPr>
            <w:tcW w:type="dxa" w:w="4320"/>
            <w:shd w:fill="F2F2F2" w:val="clear"/>
          </w:tcPr>
          <w:p>
            <w:r>
              <w:rPr>
                <w:rFonts w:ascii="Calibri" w:hAnsi="Calibri"/>
                <w:b w:val="0"/>
                <w:i w:val="0"/>
                <w:sz w:val="20"/>
              </w:rPr>
              <w:t>PayPal</w:t>
            </w:r>
          </w:p>
        </w:tc>
      </w:tr>
      <w:tr>
        <w:tc>
          <w:tcPr>
            <w:tcW w:type="dxa" w:w="4320"/>
          </w:tcPr>
          <w:p>
            <w:r>
              <w:rPr>
                <w:rFonts w:ascii="Calibri" w:hAnsi="Calibri"/>
                <w:b/>
                <w:i w:val="0"/>
                <w:sz w:val="20"/>
              </w:rPr>
              <w:t>PSP_3</w:t>
            </w:r>
          </w:p>
        </w:tc>
        <w:tc>
          <w:tcPr>
            <w:tcW w:type="dxa" w:w="4320"/>
          </w:tcPr>
          <w:p>
            <w:r>
              <w:rPr>
                <w:rFonts w:ascii="Calibri" w:hAnsi="Calibri"/>
                <w:b w:val="0"/>
                <w:i w:val="0"/>
                <w:sz w:val="20"/>
              </w:rPr>
              <w:t>AWS Marketplace</w:t>
            </w:r>
          </w:p>
        </w:tc>
      </w:tr>
      <w:tr>
        <w:tc>
          <w:tcPr>
            <w:tcW w:type="dxa" w:w="4320"/>
            <w:shd w:fill="F2F2F2" w:val="clear"/>
          </w:tcPr>
          <w:p>
            <w:r>
              <w:rPr>
                <w:rFonts w:ascii="Calibri" w:hAnsi="Calibri"/>
                <w:b/>
                <w:i w:val="0"/>
                <w:sz w:val="20"/>
              </w:rPr>
              <w:t>PSP_4</w:t>
            </w:r>
          </w:p>
        </w:tc>
        <w:tc>
          <w:tcPr>
            <w:tcW w:type="dxa" w:w="4320"/>
            <w:shd w:fill="F2F2F2" w:val="clear"/>
          </w:tcPr>
          <w:p>
            <w:r>
              <w:rPr>
                <w:rFonts w:ascii="Calibri" w:hAnsi="Calibri"/>
                <w:b w:val="0"/>
                <w:i w:val="0"/>
                <w:sz w:val="20"/>
              </w:rPr>
              <w:t>Azure Marketplace</w:t>
            </w:r>
          </w:p>
        </w:tc>
      </w:tr>
      <w:tr>
        <w:tc>
          <w:tcPr>
            <w:tcW w:type="dxa" w:w="4320"/>
          </w:tcPr>
          <w:p>
            <w:r>
              <w:rPr>
                <w:rFonts w:ascii="Calibri" w:hAnsi="Calibri"/>
                <w:b/>
                <w:i w:val="0"/>
                <w:sz w:val="20"/>
              </w:rPr>
              <w:t>PSP_5</w:t>
            </w:r>
          </w:p>
        </w:tc>
        <w:tc>
          <w:tcPr>
            <w:tcW w:type="dxa" w:w="4320"/>
          </w:tcPr>
          <w:p>
            <w:r>
              <w:rPr>
                <w:rFonts w:ascii="Calibri" w:hAnsi="Calibri"/>
                <w:b w:val="0"/>
                <w:i w:val="0"/>
                <w:sz w:val="20"/>
              </w:rPr>
              <w:t>Google Cloud Marketplace</w:t>
            </w:r>
          </w:p>
        </w:tc>
      </w:tr>
    </w:tbl>
    <w:p/>
    <w:p>
      <w:pPr>
        <w:spacing w:after="120"/>
      </w:pPr>
      <w:r>
        <w:rPr>
          <w:rFonts w:ascii="Calibri" w:hAnsi="Calibri"/>
          <w:b/>
          <w:i w:val="0"/>
          <w:color w:val="5B4CFF"/>
          <w:sz w:val="26"/>
        </w:rPr>
        <w:t>SLIDE 1: MISSING LOCAL METHODS (BLIND SPOTS)</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Local_M_1</w:t>
            </w:r>
          </w:p>
        </w:tc>
        <w:tc>
          <w:tcPr>
            <w:tcW w:type="dxa" w:w="4320"/>
          </w:tcPr>
          <w:p>
            <w:r>
              <w:rPr>
                <w:rFonts w:ascii="Calibri" w:hAnsi="Calibri"/>
                <w:b w:val="0"/>
                <w:i w:val="0"/>
                <w:sz w:val="20"/>
              </w:rPr>
              <w:t>SEPA Direct Debit</w:t>
            </w:r>
          </w:p>
        </w:tc>
      </w:tr>
      <w:tr>
        <w:tc>
          <w:tcPr>
            <w:tcW w:type="dxa" w:w="4320"/>
            <w:shd w:fill="F2F2F2" w:val="clear"/>
          </w:tcPr>
          <w:p>
            <w:r>
              <w:rPr>
                <w:rFonts w:ascii="Calibri" w:hAnsi="Calibri"/>
                <w:b/>
                <w:i w:val="0"/>
                <w:sz w:val="20"/>
              </w:rPr>
              <w:t>Local_M_2</w:t>
            </w:r>
          </w:p>
        </w:tc>
        <w:tc>
          <w:tcPr>
            <w:tcW w:type="dxa" w:w="4320"/>
            <w:shd w:fill="F2F2F2" w:val="clear"/>
          </w:tcPr>
          <w:p>
            <w:r>
              <w:rPr>
                <w:rFonts w:ascii="Calibri" w:hAnsi="Calibri"/>
                <w:b w:val="0"/>
                <w:i w:val="0"/>
                <w:sz w:val="20"/>
              </w:rPr>
              <w:t>Pix</w:t>
            </w:r>
          </w:p>
        </w:tc>
      </w:tr>
      <w:tr>
        <w:tc>
          <w:tcPr>
            <w:tcW w:type="dxa" w:w="4320"/>
          </w:tcPr>
          <w:p>
            <w:r>
              <w:rPr>
                <w:rFonts w:ascii="Calibri" w:hAnsi="Calibri"/>
                <w:b/>
                <w:i w:val="0"/>
                <w:sz w:val="20"/>
              </w:rPr>
              <w:t>Local_M_3</w:t>
            </w:r>
          </w:p>
        </w:tc>
        <w:tc>
          <w:tcPr>
            <w:tcW w:type="dxa" w:w="4320"/>
          </w:tcPr>
          <w:p>
            <w:r>
              <w:rPr>
                <w:rFonts w:ascii="Calibri" w:hAnsi="Calibri"/>
                <w:b w:val="0"/>
                <w:i w:val="0"/>
                <w:sz w:val="20"/>
              </w:rPr>
              <w:t>UPI</w:t>
            </w:r>
          </w:p>
        </w:tc>
      </w:tr>
      <w:tr>
        <w:tc>
          <w:tcPr>
            <w:tcW w:type="dxa" w:w="4320"/>
            <w:shd w:fill="F2F2F2" w:val="clear"/>
          </w:tcPr>
          <w:p>
            <w:r>
              <w:rPr>
                <w:rFonts w:ascii="Calibri" w:hAnsi="Calibri"/>
                <w:b/>
                <w:i w:val="0"/>
                <w:sz w:val="20"/>
              </w:rPr>
              <w:t>Local_M_4</w:t>
            </w:r>
          </w:p>
        </w:tc>
        <w:tc>
          <w:tcPr>
            <w:tcW w:type="dxa" w:w="4320"/>
            <w:shd w:fill="F2F2F2" w:val="clear"/>
          </w:tcPr>
          <w:p>
            <w:r>
              <w:rPr>
                <w:rFonts w:ascii="Calibri" w:hAnsi="Calibri"/>
                <w:b w:val="0"/>
                <w:i w:val="0"/>
                <w:sz w:val="20"/>
              </w:rPr>
              <w:t>BACS Direct Debit</w:t>
            </w:r>
          </w:p>
        </w:tc>
      </w:tr>
      <w:tr>
        <w:tc>
          <w:tcPr>
            <w:tcW w:type="dxa" w:w="4320"/>
          </w:tcPr>
          <w:p>
            <w:r>
              <w:rPr>
                <w:rFonts w:ascii="Calibri" w:hAnsi="Calibri"/>
                <w:b/>
                <w:i w:val="0"/>
                <w:sz w:val="20"/>
              </w:rPr>
              <w:t>Local_M_5</w:t>
            </w:r>
          </w:p>
        </w:tc>
        <w:tc>
          <w:tcPr>
            <w:tcW w:type="dxa" w:w="4320"/>
          </w:tcPr>
          <w:p>
            <w:r>
              <w:rPr>
                <w:rFonts w:ascii="Calibri" w:hAnsi="Calibri"/>
                <w:b w:val="0"/>
                <w:i w:val="0"/>
                <w:sz w:val="20"/>
              </w:rPr>
              <w:t>iDEAL</w:t>
            </w:r>
          </w:p>
        </w:tc>
      </w:tr>
      <w:tr>
        <w:tc>
          <w:tcPr>
            <w:tcW w:type="dxa" w:w="4320"/>
            <w:shd w:fill="F2F2F2" w:val="clear"/>
          </w:tcPr>
          <w:p>
            <w:r>
              <w:rPr>
                <w:rFonts w:ascii="Calibri" w:hAnsi="Calibri"/>
                <w:b/>
                <w:i w:val="0"/>
                <w:sz w:val="20"/>
              </w:rPr>
              <w:t>Local_M_6</w:t>
            </w:r>
          </w:p>
        </w:tc>
        <w:tc>
          <w:tcPr>
            <w:tcW w:type="dxa" w:w="4320"/>
            <w:shd w:fill="F2F2F2" w:val="clear"/>
          </w:tcPr>
          <w:p>
            <w:r>
              <w:rPr>
                <w:rFonts w:ascii="Calibri" w:hAnsi="Calibri"/>
                <w:b w:val="0"/>
                <w:i w:val="0"/>
                <w:sz w:val="20"/>
              </w:rPr>
              <w:t>Boleto</w:t>
            </w:r>
          </w:p>
        </w:tc>
      </w:tr>
      <w:tr>
        <w:tc>
          <w:tcPr>
            <w:tcW w:type="dxa" w:w="4320"/>
          </w:tcPr>
          <w:p>
            <w:r>
              <w:rPr>
                <w:rFonts w:ascii="Calibri" w:hAnsi="Calibri"/>
                <w:b/>
                <w:i w:val="0"/>
                <w:sz w:val="20"/>
              </w:rPr>
              <w:t>Local_M_7</w:t>
            </w:r>
          </w:p>
        </w:tc>
        <w:tc>
          <w:tcPr>
            <w:tcW w:type="dxa" w:w="4320"/>
          </w:tcPr>
          <w:p>
            <w:r>
              <w:rPr>
                <w:rFonts w:ascii="Calibri" w:hAnsi="Calibri"/>
                <w:b w:val="0"/>
                <w:i w:val="0"/>
                <w:sz w:val="20"/>
              </w:rPr>
              <w:t>Konbini</w:t>
            </w:r>
          </w:p>
        </w:tc>
      </w:tr>
      <w:tr>
        <w:tc>
          <w:tcPr>
            <w:tcW w:type="dxa" w:w="4320"/>
            <w:shd w:fill="F2F2F2" w:val="clear"/>
          </w:tcPr>
          <w:p>
            <w:r>
              <w:rPr>
                <w:rFonts w:ascii="Calibri" w:hAnsi="Calibri"/>
                <w:b/>
                <w:i w:val="0"/>
                <w:sz w:val="20"/>
              </w:rPr>
              <w:t>Local_M_8</w:t>
            </w:r>
          </w:p>
        </w:tc>
        <w:tc>
          <w:tcPr>
            <w:tcW w:type="dxa" w:w="4320"/>
            <w:shd w:fill="F2F2F2" w:val="clear"/>
          </w:tcPr>
          <w:p>
            <w:r>
              <w:rPr>
                <w:rFonts w:ascii="Calibri" w:hAnsi="Calibri"/>
                <w:b w:val="0"/>
                <w:i w:val="0"/>
                <w:sz w:val="20"/>
              </w:rPr>
              <w:t>BLIK</w:t>
            </w:r>
          </w:p>
        </w:tc>
      </w:tr>
      <w:tr>
        <w:tc>
          <w:tcPr>
            <w:tcW w:type="dxa" w:w="4320"/>
          </w:tcPr>
          <w:p>
            <w:r>
              <w:rPr>
                <w:rFonts w:ascii="Calibri" w:hAnsi="Calibri"/>
                <w:b/>
                <w:i w:val="0"/>
                <w:sz w:val="20"/>
              </w:rPr>
              <w:t>Local_M_9</w:t>
            </w:r>
          </w:p>
        </w:tc>
        <w:tc>
          <w:tcPr>
            <w:tcW w:type="dxa" w:w="4320"/>
          </w:tcPr>
          <w:p>
            <w:r>
              <w:rPr>
                <w:rFonts w:ascii="Calibri" w:hAnsi="Calibri"/>
                <w:b w:val="0"/>
                <w:i w:val="0"/>
                <w:sz w:val="20"/>
              </w:rPr>
              <w:t>Bancontact</w:t>
            </w:r>
          </w:p>
        </w:tc>
      </w:tr>
      <w:tr>
        <w:tc>
          <w:tcPr>
            <w:tcW w:type="dxa" w:w="4320"/>
            <w:shd w:fill="F2F2F2" w:val="clear"/>
          </w:tcPr>
          <w:p>
            <w:r>
              <w:rPr>
                <w:rFonts w:ascii="Calibri" w:hAnsi="Calibri"/>
                <w:b/>
                <w:i w:val="0"/>
                <w:sz w:val="20"/>
              </w:rPr>
              <w:t>Local_M_10</w:t>
            </w:r>
          </w:p>
        </w:tc>
        <w:tc>
          <w:tcPr>
            <w:tcW w:type="dxa" w:w="4320"/>
            <w:shd w:fill="F2F2F2" w:val="clear"/>
          </w:tcPr>
          <w:p>
            <w:r>
              <w:rPr>
                <w:rFonts w:ascii="Calibri" w:hAnsi="Calibri"/>
                <w:b w:val="0"/>
                <w:i w:val="0"/>
                <w:sz w:val="20"/>
              </w:rPr>
              <w:t>OXXO</w:t>
            </w:r>
          </w:p>
        </w:tc>
      </w:tr>
    </w:tbl>
    <w:p/>
    <w:p>
      <w:pPr>
        <w:spacing w:after="120"/>
      </w:pPr>
      <w:r>
        <w:rPr>
          <w:rFonts w:ascii="Calibri" w:hAnsi="Calibri"/>
          <w:b/>
          <w:i w:val="0"/>
          <w:color w:val="5B4CFF"/>
          <w:sz w:val="26"/>
        </w:rPr>
        <w:t>SLIDE 2: YUNO CAPABILITIES</w:t>
      </w:r>
    </w:p>
    <w:p>
      <w:pPr>
        <w:shd w:fill="F2F2F2" w:val="clear"/>
      </w:pPr>
      <w:r>
        <w:rPr>
          <w:rFonts w:ascii="Calibri" w:hAnsi="Calibri"/>
          <w:b/>
          <w:i w:val="0"/>
          <w:color w:val="5B4CFF"/>
          <w:sz w:val="20"/>
        </w:rPr>
        <w:t xml:space="preserve">Tittle_Yuno_Cap1: </w:t>
      </w:r>
      <w:r>
        <w:rPr>
          <w:rFonts w:ascii="Calibri" w:hAnsi="Calibri"/>
          <w:b w:val="0"/>
          <w:i w:val="0"/>
          <w:sz w:val="20"/>
        </w:rPr>
        <w:t>Smart Routing</w:t>
      </w:r>
      <w:r>
        <w:rPr>
          <w:rFonts w:ascii="Calibri" w:hAnsi="Calibri"/>
          <w:b w:val="0"/>
          <w:i/>
          <w:color w:val="999999"/>
          <w:sz w:val="16"/>
        </w:rPr>
        <w:t xml:space="preserve">  [13 chars]</w:t>
      </w:r>
    </w:p>
    <w:p>
      <w:pPr>
        <w:shd w:fill="F2F2F2" w:val="clear"/>
      </w:pPr>
      <w:r>
        <w:rPr>
          <w:rFonts w:ascii="Calibri" w:hAnsi="Calibri"/>
          <w:b/>
          <w:i w:val="0"/>
          <w:color w:val="5B4CFF"/>
          <w:sz w:val="20"/>
        </w:rPr>
        <w:t xml:space="preserve">Tittle_Yuno_Cap2: </w:t>
      </w:r>
      <w:r>
        <w:rPr>
          <w:rFonts w:ascii="Calibri" w:hAnsi="Calibri"/>
          <w:b w:val="0"/>
          <w:i w:val="0"/>
          <w:sz w:val="20"/>
        </w:rPr>
        <w:t>Failover &amp; Retries</w:t>
      </w:r>
      <w:r>
        <w:rPr>
          <w:rFonts w:ascii="Calibri" w:hAnsi="Calibri"/>
          <w:b w:val="0"/>
          <w:i/>
          <w:color w:val="999999"/>
          <w:sz w:val="16"/>
        </w:rPr>
        <w:t xml:space="preserve">  [18 chars]</w:t>
      </w:r>
    </w:p>
    <w:p>
      <w:pPr>
        <w:shd w:fill="F2F2F2" w:val="clear"/>
      </w:pPr>
      <w:r>
        <w:rPr>
          <w:rFonts w:ascii="Calibri" w:hAnsi="Calibri"/>
          <w:b/>
          <w:i w:val="0"/>
          <w:color w:val="5B4CFF"/>
          <w:sz w:val="20"/>
        </w:rPr>
        <w:t xml:space="preserve">Tittle_Yuno_Cap3: </w:t>
      </w:r>
      <w:r>
        <w:rPr>
          <w:rFonts w:ascii="Calibri" w:hAnsi="Calibri"/>
          <w:b w:val="0"/>
          <w:i w:val="0"/>
          <w:sz w:val="20"/>
        </w:rPr>
        <w:t>Local Payment Methods</w:t>
      </w:r>
      <w:r>
        <w:rPr>
          <w:rFonts w:ascii="Calibri" w:hAnsi="Calibri"/>
          <w:b w:val="0"/>
          <w:i/>
          <w:color w:val="999999"/>
          <w:sz w:val="16"/>
        </w:rPr>
        <w:t xml:space="preserve">  [21 chars]</w:t>
      </w:r>
    </w:p>
    <w:p>
      <w:pPr>
        <w:shd w:fill="F2F2F2" w:val="clear"/>
      </w:pPr>
      <w:r>
        <w:rPr>
          <w:rFonts w:ascii="Calibri" w:hAnsi="Calibri"/>
          <w:b/>
          <w:i w:val="0"/>
          <w:color w:val="5B4CFF"/>
          <w:sz w:val="20"/>
        </w:rPr>
        <w:t xml:space="preserve">Tittle_Yuno_Cap4: </w:t>
      </w:r>
      <w:r>
        <w:rPr>
          <w:rFonts w:ascii="Calibri" w:hAnsi="Calibri"/>
          <w:b w:val="0"/>
          <w:i w:val="0"/>
          <w:sz w:val="20"/>
        </w:rPr>
        <w:t>Unified Orchestration</w:t>
      </w:r>
      <w:r>
        <w:rPr>
          <w:rFonts w:ascii="Calibri" w:hAnsi="Calibri"/>
          <w:b w:val="0"/>
          <w:i/>
          <w:color w:val="999999"/>
          <w:sz w:val="16"/>
        </w:rPr>
        <w:t xml:space="preserve">  [21 chars]</w:t>
      </w:r>
    </w:p>
    <w:p/>
    <w:p>
      <w:pPr>
        <w:shd w:fill="F2F2F2" w:val="clear"/>
      </w:pPr>
      <w:r>
        <w:rPr>
          <w:rFonts w:ascii="Calibri" w:hAnsi="Calibri"/>
          <w:b/>
          <w:i w:val="0"/>
          <w:color w:val="5B4CFF"/>
          <w:sz w:val="20"/>
        </w:rPr>
        <w:t xml:space="preserve">Desc_Yuno_Cap1: </w:t>
      </w:r>
      <w:r>
        <w:rPr>
          <w:rFonts w:ascii="Calibri" w:hAnsi="Calibri"/>
          <w:b w:val="0"/>
          <w:i w:val="0"/>
          <w:sz w:val="20"/>
        </w:rPr>
        <w:t>Route each Atlas billing charge to the optimal acquirer by card BIN, issuer, and country. With $2.4B+ annual revenue from 62,500+ customers across 100+ countries, even a 3% auth uplift translates to $72M+ in recovered billing revenue without adding a single new cluster.</w:t>
      </w:r>
    </w:p>
    <w:p>
      <w:pPr>
        <w:shd w:fill="F2F2F2" w:val="clear"/>
        <w:spacing w:before="0" w:after="120"/>
      </w:pPr>
      <w:r>
        <w:rPr>
          <w:rFonts w:ascii="Calibri" w:hAnsi="Calibri"/>
          <w:b w:val="0"/>
          <w:i/>
          <w:color w:val="999999"/>
          <w:sz w:val="16"/>
        </w:rPr>
        <w:t>[270 chars]</w:t>
      </w:r>
    </w:p>
    <w:p>
      <w:pPr>
        <w:shd w:fill="F2F2F2" w:val="clear"/>
      </w:pPr>
      <w:r>
        <w:rPr>
          <w:rFonts w:ascii="Calibri" w:hAnsi="Calibri"/>
          <w:b/>
          <w:i w:val="0"/>
          <w:color w:val="5B4CFF"/>
          <w:sz w:val="20"/>
        </w:rPr>
        <w:t xml:space="preserve">Desc_Yuno_Cap2: </w:t>
      </w:r>
      <w:r>
        <w:rPr>
          <w:rFonts w:ascii="Calibri" w:hAnsi="Calibri"/>
          <w:b w:val="0"/>
          <w:i w:val="0"/>
          <w:sz w:val="20"/>
        </w:rPr>
        <w:t>Automatic cascade removes single-processor dependency. When the primary acquirer declines a usage-based charge, Yuno reroutes to the next best processor in milliseconds, recovering failed billing with zero service disruption. Up to 50% recovery on soft declines.</w:t>
      </w:r>
    </w:p>
    <w:p>
      <w:pPr>
        <w:shd w:fill="F2F2F2" w:val="clear"/>
        <w:spacing w:before="0" w:after="120"/>
      </w:pPr>
      <w:r>
        <w:rPr>
          <w:rFonts w:ascii="Calibri" w:hAnsi="Calibri"/>
          <w:b w:val="0"/>
          <w:i/>
          <w:color w:val="999999"/>
          <w:sz w:val="16"/>
        </w:rPr>
        <w:t>[262 chars]</w:t>
      </w:r>
    </w:p>
    <w:p>
      <w:pPr>
        <w:shd w:fill="F2F2F2" w:val="clear"/>
      </w:pPr>
      <w:r>
        <w:rPr>
          <w:rFonts w:ascii="Calibri" w:hAnsi="Calibri"/>
          <w:b/>
          <w:i w:val="0"/>
          <w:color w:val="5B4CFF"/>
          <w:sz w:val="20"/>
        </w:rPr>
        <w:t xml:space="preserve">Desc_Yuno_Cap3: </w:t>
      </w:r>
      <w:r>
        <w:rPr>
          <w:rFonts w:ascii="Calibri" w:hAnsi="Calibri"/>
          <w:b w:val="0"/>
          <w:i w:val="0"/>
          <w:sz w:val="20"/>
        </w:rPr>
        <w:t>Activates the APMs MongoDB's global developer base needs: SEPA DD across Europe (24% of revenue), UPI in India, Pix in Brazil, iDEAL in Netherlands, Konbini in Japan, BLIK in Poland. One API, 1,000+ payment methods. No engineering effort per market.</w:t>
      </w:r>
    </w:p>
    <w:p>
      <w:pPr>
        <w:shd w:fill="F2F2F2" w:val="clear"/>
        <w:spacing w:before="0" w:after="120"/>
      </w:pPr>
      <w:r>
        <w:rPr>
          <w:rFonts w:ascii="Calibri" w:hAnsi="Calibri"/>
          <w:b w:val="0"/>
          <w:i/>
          <w:color w:val="999999"/>
          <w:sz w:val="16"/>
        </w:rPr>
        <w:t>[249 chars]</w:t>
      </w:r>
    </w:p>
    <w:p>
      <w:pPr>
        <w:shd w:fill="F2F2F2" w:val="clear"/>
      </w:pPr>
      <w:r>
        <w:rPr>
          <w:rFonts w:ascii="Calibri" w:hAnsi="Calibri"/>
          <w:b/>
          <w:i w:val="0"/>
          <w:color w:val="5B4CFF"/>
          <w:sz w:val="20"/>
        </w:rPr>
        <w:t xml:space="preserve">Desc_Yuno_Cap4: </w:t>
      </w:r>
      <w:r>
        <w:rPr>
          <w:rFonts w:ascii="Calibri" w:hAnsi="Calibri"/>
          <w:b w:val="0"/>
          <w:i w:val="0"/>
          <w:sz w:val="20"/>
        </w:rPr>
        <w:t>One dashboard consolidating self-serve card billing, PayPal, and marketplace channels (AWS, Azure, GCP) into a unified view. Real-time approval rate monitoring per region, centralized reconciliation, millisecond anomaly detection via Monitors.</w:t>
      </w:r>
    </w:p>
    <w:p>
      <w:pPr>
        <w:shd w:fill="F2F2F2" w:val="clear"/>
        <w:spacing w:before="0" w:after="120"/>
      </w:pPr>
      <w:r>
        <w:rPr>
          <w:rFonts w:ascii="Calibri" w:hAnsi="Calibri"/>
          <w:b w:val="0"/>
          <w:i/>
          <w:color w:val="999999"/>
          <w:sz w:val="16"/>
        </w:rPr>
        <w:t>[243 chars]</w:t>
      </w:r>
    </w:p>
    <w:p>
      <w:r>
        <w:br w:type="page"/>
      </w:r>
    </w:p>
    <w:p>
      <w:pPr>
        <w:spacing w:after="160"/>
      </w:pPr>
      <w:r>
        <w:rPr>
          <w:rFonts w:ascii="Calibri" w:hAnsi="Calibri"/>
          <w:b/>
          <w:i w:val="0"/>
          <w:color w:val="5B4CFF"/>
          <w:sz w:val="28"/>
        </w:rPr>
        <w:t>RESEARCH BACKING | Key Facts for the Meeting</w:t>
      </w:r>
    </w:p>
    <w:p>
      <w:pPr>
        <w:spacing w:before="40" w:after="40"/>
      </w:pPr>
      <w:r>
        <w:rPr>
          <w:rFonts w:ascii="Calibri" w:hAnsi="Calibri"/>
          <w:b w:val="0"/>
          <w:i w:val="0"/>
          <w:color w:val="CCCCCC"/>
          <w:sz w:val="20"/>
        </w:rPr>
        <w:t>──────────────────────────────────────────────────────────</w:t>
      </w:r>
    </w:p>
    <w:p/>
    <w:p>
      <w:pPr>
        <w:spacing w:before="120" w:after="40"/>
      </w:pPr>
      <w:r>
        <w:rPr>
          <w:rFonts w:ascii="Calibri" w:hAnsi="Calibri"/>
          <w:b/>
          <w:i w:val="0"/>
          <w:sz w:val="22"/>
        </w:rPr>
        <w:t>MongoDB at a glance:</w:t>
      </w:r>
    </w:p>
    <w:p>
      <w:pPr>
        <w:pStyle w:val="ListBullet"/>
      </w:pPr>
      <w:r>
        <w:rPr>
          <w:rFonts w:ascii="Calibri" w:hAnsi="Calibri"/>
          <w:b w:val="0"/>
          <w:i w:val="0"/>
          <w:sz w:val="20"/>
        </w:rPr>
        <w:t>Publicly traded: NASDAQ: MDB. Market cap ~$21B (April 2026)</w:t>
      </w:r>
    </w:p>
    <w:p>
      <w:pPr>
        <w:pStyle w:val="ListBullet"/>
      </w:pPr>
      <w:r>
        <w:rPr>
          <w:rFonts w:ascii="Calibri" w:hAnsi="Calibri"/>
          <w:b w:val="0"/>
          <w:i w:val="0"/>
          <w:sz w:val="20"/>
        </w:rPr>
        <w:t>Revenue: $2.464B (FY2026, ended Jan 31, 2026), up 22.8% YoY</w:t>
      </w:r>
    </w:p>
    <w:p>
      <w:pPr>
        <w:pStyle w:val="ListBullet"/>
      </w:pPr>
      <w:r>
        <w:rPr>
          <w:rFonts w:ascii="Calibri" w:hAnsi="Calibri"/>
          <w:b w:val="0"/>
          <w:i w:val="0"/>
          <w:sz w:val="20"/>
        </w:rPr>
        <w:t>Atlas (cloud DBaaS) represents 75% of revenue, growing 30% YoY</w:t>
      </w:r>
    </w:p>
    <w:p>
      <w:pPr>
        <w:pStyle w:val="ListBullet"/>
      </w:pPr>
      <w:r>
        <w:rPr>
          <w:rFonts w:ascii="Calibri" w:hAnsi="Calibri"/>
          <w:b w:val="0"/>
          <w:i w:val="0"/>
          <w:sz w:val="20"/>
        </w:rPr>
        <w:t>62,500+ total customers (Q3 FY2026), adding 2,600 net new customers per quarter</w:t>
      </w:r>
    </w:p>
    <w:p>
      <w:pPr>
        <w:pStyle w:val="ListBullet"/>
      </w:pPr>
      <w:r>
        <w:rPr>
          <w:rFonts w:ascii="Calibri" w:hAnsi="Calibri"/>
          <w:b w:val="0"/>
          <w:i w:val="0"/>
          <w:sz w:val="20"/>
        </w:rPr>
        <w:t>5,640 employees. HQ: New York City</w:t>
      </w:r>
    </w:p>
    <w:p>
      <w:pPr>
        <w:pStyle w:val="ListBullet"/>
      </w:pPr>
      <w:r>
        <w:rPr>
          <w:rFonts w:ascii="Calibri" w:hAnsi="Calibri"/>
          <w:b w:val="0"/>
          <w:i w:val="0"/>
          <w:sz w:val="20"/>
        </w:rPr>
        <w:t>Offices in London, Dublin, Singapore, Sydney, Tel Aviv, and more</w:t>
      </w:r>
    </w:p>
    <w:p>
      <w:pPr>
        <w:pStyle w:val="ListBullet"/>
      </w:pPr>
      <w:r>
        <w:rPr>
          <w:rFonts w:ascii="Calibri" w:hAnsi="Calibri"/>
          <w:b w:val="0"/>
          <w:i w:val="0"/>
          <w:sz w:val="20"/>
        </w:rPr>
        <w:t>CEO: Dev Ittycheria (since 2014)</w:t>
      </w:r>
    </w:p>
    <w:p>
      <w:pPr>
        <w:pStyle w:val="ListBullet"/>
      </w:pPr>
      <w:r>
        <w:rPr>
          <w:rFonts w:ascii="Calibri" w:hAnsi="Calibri"/>
          <w:b w:val="0"/>
          <w:i w:val="0"/>
          <w:sz w:val="20"/>
        </w:rPr>
        <w:t>Available in 110+ cloud regions via AWS, Azure, Google Cloud</w:t>
      </w:r>
    </w:p>
    <w:p>
      <w:pPr>
        <w:spacing w:before="120" w:after="40"/>
      </w:pPr>
      <w:r>
        <w:rPr>
          <w:rFonts w:ascii="Calibri" w:hAnsi="Calibri"/>
          <w:b/>
          <w:i w:val="0"/>
          <w:sz w:val="22"/>
        </w:rPr>
        <w:t>Revenue by geography:</w:t>
      </w:r>
    </w:p>
    <w:p>
      <w:pPr>
        <w:pStyle w:val="ListBullet"/>
      </w:pPr>
      <w:r>
        <w:rPr>
          <w:rFonts w:ascii="Calibri" w:hAnsi="Calibri"/>
          <w:b w:val="0"/>
          <w:i w:val="0"/>
          <w:sz w:val="20"/>
        </w:rPr>
        <w:t>North America: ~60% of revenue</w:t>
      </w:r>
    </w:p>
    <w:p>
      <w:pPr>
        <w:pStyle w:val="ListBullet"/>
      </w:pPr>
      <w:r>
        <w:rPr>
          <w:rFonts w:ascii="Calibri" w:hAnsi="Calibri"/>
          <w:b w:val="0"/>
          <w:i w:val="0"/>
          <w:sz w:val="20"/>
        </w:rPr>
        <w:t>EMEA: ~24% of revenue (growing 35%+ YoY)</w:t>
      </w:r>
    </w:p>
    <w:p>
      <w:pPr>
        <w:pStyle w:val="ListBullet"/>
      </w:pPr>
      <w:r>
        <w:rPr>
          <w:rFonts w:ascii="Calibri" w:hAnsi="Calibri"/>
          <w:b w:val="0"/>
          <w:i w:val="0"/>
          <w:sz w:val="20"/>
        </w:rPr>
        <w:t>APAC: ~12% of revenue (fastest growing region)</w:t>
      </w:r>
    </w:p>
    <w:p>
      <w:pPr>
        <w:pStyle w:val="ListBullet"/>
      </w:pPr>
      <w:r>
        <w:rPr>
          <w:rFonts w:ascii="Calibri" w:hAnsi="Calibri"/>
          <w:b w:val="0"/>
          <w:i w:val="0"/>
          <w:sz w:val="20"/>
        </w:rPr>
        <w:t>Key EMEA hubs: UK, Germany, France</w:t>
      </w:r>
    </w:p>
    <w:p>
      <w:pPr>
        <w:pStyle w:val="ListBullet"/>
      </w:pPr>
      <w:r>
        <w:rPr>
          <w:rFonts w:ascii="Calibri" w:hAnsi="Calibri"/>
          <w:b w:val="0"/>
          <w:i w:val="0"/>
          <w:sz w:val="20"/>
        </w:rPr>
        <w:t>Key APAC hubs: Japan, Australia, India</w:t>
      </w:r>
    </w:p>
    <w:p>
      <w:pPr>
        <w:spacing w:before="120" w:after="40"/>
      </w:pPr>
      <w:r>
        <w:rPr>
          <w:rFonts w:ascii="Calibri" w:hAnsi="Calibri"/>
          <w:b/>
          <w:i w:val="0"/>
          <w:sz w:val="22"/>
        </w:rPr>
        <w:t>Confirmed PSPs and billing methods:</w:t>
      </w:r>
    </w:p>
    <w:p>
      <w:pPr>
        <w:pStyle w:val="ListBullet"/>
      </w:pPr>
      <w:r>
        <w:rPr>
          <w:rFonts w:ascii="Calibri" w:hAnsi="Calibri"/>
          <w:b w:val="0"/>
          <w:i w:val="0"/>
          <w:sz w:val="20"/>
        </w:rPr>
        <w:t>Self-serve (Atlas console): credit card and PayPal only</w:t>
      </w:r>
    </w:p>
    <w:p>
      <w:pPr>
        <w:pStyle w:val="ListBullet"/>
      </w:pPr>
      <w:r>
        <w:rPr>
          <w:rFonts w:ascii="Calibri" w:hAnsi="Calibri"/>
          <w:b w:val="0"/>
          <w:i w:val="0"/>
          <w:sz w:val="20"/>
        </w:rPr>
        <w:t>Enterprise subscriptions: ACH, wire transfer, invoicing in multiple currencies (via MongoDB Sales)</w:t>
      </w:r>
    </w:p>
    <w:p>
      <w:pPr>
        <w:pStyle w:val="ListBullet"/>
      </w:pPr>
      <w:r>
        <w:rPr>
          <w:rFonts w:ascii="Calibri" w:hAnsi="Calibri"/>
          <w:b w:val="0"/>
          <w:i w:val="0"/>
          <w:sz w:val="20"/>
        </w:rPr>
        <w:t>Cloud marketplace billing: AWS Marketplace, Azure Marketplace, Google Cloud Marketplace</w:t>
      </w:r>
    </w:p>
    <w:p>
      <w:pPr>
        <w:pStyle w:val="ListBullet"/>
      </w:pPr>
      <w:r>
        <w:rPr>
          <w:rFonts w:ascii="Calibri" w:hAnsi="Calibri"/>
          <w:b w:val="0"/>
          <w:i w:val="0"/>
          <w:sz w:val="20"/>
        </w:rPr>
        <w:t>India: RBI mandate compliance for recurring card payments ($1,400/month mandate registered)</w:t>
      </w:r>
    </w:p>
    <w:p>
      <w:pPr>
        <w:pStyle w:val="ListBullet"/>
      </w:pPr>
      <w:r>
        <w:rPr>
          <w:rFonts w:ascii="Calibri" w:hAnsi="Calibri"/>
          <w:b w:val="0"/>
          <w:i w:val="0"/>
          <w:sz w:val="20"/>
        </w:rPr>
        <w:t>Europe: SCA/3DS compliance for EEA customers</w:t>
      </w:r>
    </w:p>
    <w:p>
      <w:pPr>
        <w:pStyle w:val="ListBullet"/>
      </w:pPr>
      <w:r>
        <w:rPr>
          <w:rFonts w:ascii="Calibri" w:hAnsi="Calibri"/>
          <w:b w:val="0"/>
          <w:i w:val="0"/>
          <w:sz w:val="20"/>
        </w:rPr>
        <w:t>No payment orchestrator detected</w:t>
      </w:r>
    </w:p>
    <w:p>
      <w:pPr>
        <w:spacing w:before="120" w:after="40"/>
      </w:pPr>
      <w:r>
        <w:rPr>
          <w:rFonts w:ascii="Calibri" w:hAnsi="Calibri"/>
          <w:b/>
          <w:i w:val="0"/>
          <w:sz w:val="22"/>
        </w:rPr>
        <w:t>Top 5 Markets Gap Analysis:</w:t>
      </w:r>
    </w:p>
    <w:p>
      <w:pPr>
        <w:spacing w:before="80"/>
      </w:pPr>
      <w:r>
        <w:rPr>
          <w:rFonts w:ascii="Calibri" w:hAnsi="Calibri"/>
          <w:b/>
          <w:i w:val="0"/>
          <w:sz w:val="20"/>
        </w:rPr>
        <w:t>MARKET 1: United States (~60% revenue)</w:t>
      </w:r>
    </w:p>
    <w:p>
      <w:r>
        <w:rPr>
          <w:rFonts w:ascii="Calibri" w:hAnsi="Calibri"/>
          <w:b w:val="0"/>
          <w:i w:val="0"/>
          <w:sz w:val="20"/>
        </w:rPr>
        <w:t xml:space="preserve">  Accepted: Visa/MC/Amex via card processing, PayPal, ACH (enterprise only)</w:t>
      </w:r>
    </w:p>
    <w:p>
      <w:r>
        <w:rPr>
          <w:rFonts w:ascii="Calibri" w:hAnsi="Calibri"/>
          <w:b w:val="0"/>
          <w:i w:val="0"/>
          <w:sz w:val="20"/>
        </w:rPr>
        <w:t xml:space="preserve">  Missing: ACH for self-serve, Cash App Pay</w:t>
      </w:r>
    </w:p>
    <w:p>
      <w:r>
        <w:rPr>
          <w:rFonts w:ascii="Calibri" w:hAnsi="Calibri"/>
          <w:b w:val="0"/>
          <w:i w:val="0"/>
          <w:sz w:val="20"/>
        </w:rPr>
        <w:t xml:space="preserve">  Note: Well served but no acquirer redundancy for self-serve billing</w:t>
      </w:r>
    </w:p>
    <w:p>
      <w:pPr>
        <w:spacing w:before="80"/>
      </w:pPr>
      <w:r>
        <w:rPr>
          <w:rFonts w:ascii="Calibri" w:hAnsi="Calibri"/>
          <w:b/>
          <w:i w:val="0"/>
          <w:sz w:val="20"/>
        </w:rPr>
        <w:t>MARKET 2: United Kingdom (major EMEA hub)</w:t>
      </w:r>
    </w:p>
    <w:p>
      <w:r>
        <w:rPr>
          <w:rFonts w:ascii="Calibri" w:hAnsi="Calibri"/>
          <w:b w:val="0"/>
          <w:i w:val="0"/>
          <w:sz w:val="20"/>
        </w:rPr>
        <w:t xml:space="preserve">  Accepted: Visa/MC, PayPal</w:t>
      </w:r>
    </w:p>
    <w:p>
      <w:r>
        <w:rPr>
          <w:rFonts w:ascii="Calibri" w:hAnsi="Calibri"/>
          <w:b w:val="0"/>
          <w:i w:val="0"/>
          <w:sz w:val="20"/>
        </w:rPr>
        <w:t xml:space="preserve">  Missing: BACS Direct Debit, Open Banking</w:t>
      </w:r>
    </w:p>
    <w:p>
      <w:r>
        <w:rPr>
          <w:rFonts w:ascii="Calibri" w:hAnsi="Calibri"/>
          <w:b w:val="0"/>
          <w:i w:val="0"/>
          <w:sz w:val="20"/>
        </w:rPr>
        <w:t xml:space="preserve">  Note: UK developers and enterprises expect Direct Debit for recurring cloud billing</w:t>
      </w:r>
    </w:p>
    <w:p>
      <w:pPr>
        <w:spacing w:before="80"/>
      </w:pPr>
      <w:r>
        <w:rPr>
          <w:rFonts w:ascii="Calibri" w:hAnsi="Calibri"/>
          <w:b/>
          <w:i w:val="0"/>
          <w:sz w:val="20"/>
        </w:rPr>
        <w:t>MARKET 3: Germany (major EMEA market)</w:t>
      </w:r>
    </w:p>
    <w:p>
      <w:r>
        <w:rPr>
          <w:rFonts w:ascii="Calibri" w:hAnsi="Calibri"/>
          <w:b w:val="0"/>
          <w:i w:val="0"/>
          <w:sz w:val="20"/>
        </w:rPr>
        <w:t xml:space="preserve">  Accepted: Visa/MC, PayPal</w:t>
      </w:r>
    </w:p>
    <w:p>
      <w:r>
        <w:rPr>
          <w:rFonts w:ascii="Calibri" w:hAnsi="Calibri"/>
          <w:b w:val="0"/>
          <w:i w:val="0"/>
          <w:sz w:val="20"/>
        </w:rPr>
        <w:t xml:space="preserve">  Missing: SEPA Direct Debit, Sofort, Giropay</w:t>
      </w:r>
    </w:p>
    <w:p>
      <w:r>
        <w:rPr>
          <w:rFonts w:ascii="Calibri" w:hAnsi="Calibri"/>
          <w:b w:val="0"/>
          <w:i w:val="0"/>
          <w:sz w:val="20"/>
        </w:rPr>
        <w:t xml:space="preserve">  Note: Only ~35% card penetration. SEPA DD is standard for recurring B2B payments</w:t>
      </w:r>
    </w:p>
    <w:p>
      <w:pPr>
        <w:spacing w:before="80"/>
      </w:pPr>
      <w:r>
        <w:rPr>
          <w:rFonts w:ascii="Calibri" w:hAnsi="Calibri"/>
          <w:b/>
          <w:i w:val="0"/>
          <w:sz w:val="20"/>
        </w:rPr>
        <w:t>MARKET 4: India (growing developer market)</w:t>
      </w:r>
    </w:p>
    <w:p>
      <w:r>
        <w:rPr>
          <w:rFonts w:ascii="Calibri" w:hAnsi="Calibri"/>
          <w:b w:val="0"/>
          <w:i w:val="0"/>
          <w:sz w:val="20"/>
        </w:rPr>
        <w:t xml:space="preserve">  Accepted: Visa/MC with RBI mandate, INR billing available</w:t>
      </w:r>
    </w:p>
    <w:p>
      <w:r>
        <w:rPr>
          <w:rFonts w:ascii="Calibri" w:hAnsi="Calibri"/>
          <w:b w:val="0"/>
          <w:i w:val="0"/>
          <w:sz w:val="20"/>
        </w:rPr>
        <w:t xml:space="preserve">  Missing: UPI, RuPay, Net Banking, Paytm</w:t>
      </w:r>
    </w:p>
    <w:p>
      <w:r>
        <w:rPr>
          <w:rFonts w:ascii="Calibri" w:hAnsi="Calibri"/>
          <w:b w:val="0"/>
          <w:i w:val="0"/>
          <w:sz w:val="20"/>
        </w:rPr>
        <w:t xml:space="preserve">  Note: RBI recurring mandate at $1,400/month creates friction. UPI handles 75%+ of digital payments</w:t>
      </w:r>
    </w:p>
    <w:p>
      <w:pPr>
        <w:spacing w:before="80"/>
      </w:pPr>
      <w:r>
        <w:rPr>
          <w:rFonts w:ascii="Calibri" w:hAnsi="Calibri"/>
          <w:b/>
          <w:i w:val="0"/>
          <w:sz w:val="20"/>
        </w:rPr>
        <w:t>MARKET 5: Brazil (growing LATAM market)</w:t>
      </w:r>
    </w:p>
    <w:p>
      <w:r>
        <w:rPr>
          <w:rFonts w:ascii="Calibri" w:hAnsi="Calibri"/>
          <w:b w:val="0"/>
          <w:i w:val="0"/>
          <w:sz w:val="20"/>
        </w:rPr>
        <w:t xml:space="preserve">  Accepted: Visa/MC (likely USD cross-border)</w:t>
      </w:r>
    </w:p>
    <w:p>
      <w:r>
        <w:rPr>
          <w:rFonts w:ascii="Calibri" w:hAnsi="Calibri"/>
          <w:b w:val="0"/>
          <w:i w:val="0"/>
          <w:sz w:val="20"/>
        </w:rPr>
        <w:t xml:space="preserve">  Missing: Pix, Boleto, local installment cards</w:t>
      </w:r>
    </w:p>
    <w:p>
      <w:r>
        <w:rPr>
          <w:rFonts w:ascii="Calibri" w:hAnsi="Calibri"/>
          <w:b w:val="0"/>
          <w:i w:val="0"/>
          <w:sz w:val="20"/>
        </w:rPr>
        <w:t xml:space="preserve">  Note: Pix handles 70%+ of digital payments. Developers priced out without local methods</w:t>
      </w:r>
    </w:p>
    <w:p>
      <w:pPr>
        <w:spacing w:before="120" w:after="40"/>
      </w:pPr>
      <w:r>
        <w:rPr>
          <w:rFonts w:ascii="Calibri" w:hAnsi="Calibri"/>
          <w:b/>
          <w:i w:val="0"/>
          <w:sz w:val="22"/>
        </w:rPr>
        <w:t>Key meeting angles:</w:t>
      </w:r>
    </w:p>
    <w:p>
      <w:pPr>
        <w:spacing w:before="40"/>
      </w:pPr>
      <w:r>
        <w:rPr>
          <w:rFonts w:ascii="Calibri" w:hAnsi="Calibri"/>
          <w:b w:val="0"/>
          <w:i w:val="0"/>
          <w:sz w:val="20"/>
        </w:rPr>
        <w:t>Usage-based billing complexity | Variable monthly charges trigger more fraud flags than fixed subscriptions, amplifying the decline problem</w:t>
      </w:r>
    </w:p>
    <w:p>
      <w:pPr>
        <w:spacing w:before="40"/>
      </w:pPr>
      <w:r>
        <w:rPr>
          <w:rFonts w:ascii="Calibri" w:hAnsi="Calibri"/>
          <w:b w:val="0"/>
          <w:i w:val="0"/>
          <w:sz w:val="20"/>
        </w:rPr>
        <w:t>Developer-first adoption | Self-serve Atlas is the growth engine; blocked payment = lost developer = lost future enterprise deal</w:t>
      </w:r>
    </w:p>
    <w:p>
      <w:pPr>
        <w:spacing w:before="40"/>
      </w:pPr>
      <w:r>
        <w:rPr>
          <w:rFonts w:ascii="Calibri" w:hAnsi="Calibri"/>
          <w:b w:val="0"/>
          <w:i w:val="0"/>
          <w:sz w:val="20"/>
        </w:rPr>
        <w:t>EMEA is the fastest revenue growth | 35%+ YoY, but zero local European APMs for self-serve customers</w:t>
      </w:r>
    </w:p>
    <w:p>
      <w:pPr>
        <w:spacing w:before="40"/>
      </w:pPr>
      <w:r>
        <w:rPr>
          <w:rFonts w:ascii="Calibri" w:hAnsi="Calibri"/>
          <w:b w:val="0"/>
          <w:i w:val="0"/>
          <w:sz w:val="20"/>
        </w:rPr>
        <w:t>RBI mandate friction in India | $1,400/month recurring mandate creates involuntary churn for growing Indian developer base</w:t>
      </w:r>
    </w:p>
    <w:p>
      <w:pPr>
        <w:spacing w:before="40"/>
      </w:pPr>
      <w:r>
        <w:rPr>
          <w:rFonts w:ascii="Calibri" w:hAnsi="Calibri"/>
          <w:b w:val="0"/>
          <w:i w:val="0"/>
          <w:sz w:val="20"/>
        </w:rPr>
        <w:t>Marketplace dependency | AWS/Azure/GCP marketplaces take 3-5% fees; direct billing with local APMs recovers that margin</w:t>
      </w:r>
    </w:p>
    <w:p>
      <w:pPr>
        <w:spacing w:before="40"/>
      </w:pPr>
      <w:r>
        <w:rPr>
          <w:rFonts w:ascii="Calibri" w:hAnsi="Calibri"/>
          <w:b w:val="0"/>
          <w:i w:val="0"/>
          <w:sz w:val="20"/>
        </w:rPr>
        <w:t>Public company pressure | $21B market cap company reporting payment metrics to Wall Street. Auth rate improvements flow directly to earnings</w:t>
      </w:r>
    </w:p>
    <w:p>
      <w:pPr>
        <w:spacing w:before="120" w:after="40"/>
      </w:pPr>
      <w:r>
        <w:rPr>
          <w:rFonts w:ascii="Calibri" w:hAnsi="Calibri"/>
          <w:b/>
          <w:i w:val="0"/>
          <w:sz w:val="22"/>
        </w:rPr>
        <w:t>Sources:</w:t>
      </w:r>
    </w:p>
    <w:p>
      <w:pPr>
        <w:pStyle w:val="ListBullet"/>
      </w:pPr>
      <w:r>
        <w:rPr>
          <w:rFonts w:ascii="Calibri" w:hAnsi="Calibri"/>
          <w:b w:val="0"/>
          <w:i w:val="0"/>
          <w:sz w:val="20"/>
        </w:rPr>
        <w:t>MongoDB FY2026 Q4 Results</w:t>
      </w:r>
    </w:p>
    <w:p>
      <w:pPr>
        <w:pStyle w:val="ListBullet"/>
      </w:pPr>
      <w:r>
        <w:rPr>
          <w:rFonts w:ascii="Calibri" w:hAnsi="Calibri"/>
          <w:b w:val="0"/>
          <w:i w:val="0"/>
          <w:sz w:val="20"/>
        </w:rPr>
        <w:t>MongoDB FY2026 Q3 Results</w:t>
      </w:r>
    </w:p>
    <w:p>
      <w:pPr>
        <w:pStyle w:val="ListBullet"/>
      </w:pPr>
      <w:r>
        <w:rPr>
          <w:rFonts w:ascii="Calibri" w:hAnsi="Calibri"/>
          <w:b w:val="0"/>
          <w:i w:val="0"/>
          <w:sz w:val="20"/>
        </w:rPr>
        <w:t>MongoDB FY2025 Full Year Results</w:t>
      </w:r>
    </w:p>
    <w:p>
      <w:pPr>
        <w:pStyle w:val="ListBullet"/>
      </w:pPr>
      <w:r>
        <w:rPr>
          <w:rFonts w:ascii="Calibri" w:hAnsi="Calibri"/>
          <w:b w:val="0"/>
          <w:i w:val="0"/>
          <w:sz w:val="20"/>
        </w:rPr>
        <w:t>SaaStr: MongoDB at $2B+ ARR</w:t>
      </w:r>
    </w:p>
    <w:p>
      <w:pPr>
        <w:pStyle w:val="ListBullet"/>
      </w:pPr>
      <w:r>
        <w:rPr>
          <w:rFonts w:ascii="Calibri" w:hAnsi="Calibri"/>
          <w:b w:val="0"/>
          <w:i w:val="0"/>
          <w:sz w:val="20"/>
        </w:rPr>
        <w:t>MongoDB Atlas Billing Docs</w:t>
      </w:r>
    </w:p>
    <w:p>
      <w:pPr>
        <w:pStyle w:val="ListBullet"/>
      </w:pPr>
      <w:r>
        <w:rPr>
          <w:rFonts w:ascii="Calibri" w:hAnsi="Calibri"/>
          <w:b w:val="0"/>
          <w:i w:val="0"/>
          <w:sz w:val="20"/>
        </w:rPr>
        <w:t>MongoDB Atlas International Billing</w:t>
      </w:r>
    </w:p>
    <w:p>
      <w:pPr>
        <w:pStyle w:val="ListBullet"/>
      </w:pPr>
      <w:r>
        <w:rPr>
          <w:rFonts w:ascii="Calibri" w:hAnsi="Calibri"/>
          <w:b w:val="0"/>
          <w:i w:val="0"/>
          <w:sz w:val="20"/>
        </w:rPr>
        <w:t>MongoDB Atlas Subscriptions</w:t>
      </w:r>
    </w:p>
    <w:p>
      <w:pPr>
        <w:pStyle w:val="ListBullet"/>
      </w:pPr>
      <w:r>
        <w:rPr>
          <w:rFonts w:ascii="Calibri" w:hAnsi="Calibri"/>
          <w:b w:val="0"/>
          <w:i w:val="0"/>
          <w:sz w:val="20"/>
        </w:rPr>
        <w:t>MongoDB Billing FAQ</w:t>
      </w:r>
    </w:p>
    <w:p>
      <w:pPr>
        <w:pStyle w:val="ListBullet"/>
      </w:pPr>
      <w:r>
        <w:rPr>
          <w:rFonts w:ascii="Calibri" w:hAnsi="Calibri"/>
          <w:b w:val="0"/>
          <w:i w:val="0"/>
          <w:sz w:val="20"/>
        </w:rPr>
        <w:t>MongoDB Brand Resources</w:t>
      </w:r>
    </w:p>
    <w:p>
      <w:pPr>
        <w:pStyle w:val="ListBullet"/>
      </w:pPr>
      <w:r>
        <w:rPr>
          <w:rFonts w:ascii="Calibri" w:hAnsi="Calibri"/>
          <w:b w:val="0"/>
          <w:i w:val="0"/>
          <w:sz w:val="20"/>
        </w:rPr>
        <w:t>MongoDB Revenue (MacroTrends)</w:t>
      </w:r>
    </w:p>
    <w:p>
      <w:pPr>
        <w:pStyle w:val="ListBullet"/>
      </w:pPr>
      <w:r>
        <w:rPr>
          <w:rFonts w:ascii="Calibri" w:hAnsi="Calibri"/>
          <w:b w:val="0"/>
          <w:i w:val="0"/>
          <w:sz w:val="20"/>
        </w:rPr>
        <w:t>MongoDB Market Cap</w:t>
      </w:r>
    </w:p>
    <w:p>
      <w:pPr>
        <w:pStyle w:val="ListBullet"/>
      </w:pPr>
      <w:r>
        <w:rPr>
          <w:rFonts w:ascii="Calibri" w:hAnsi="Calibri"/>
          <w:b w:val="0"/>
          <w:i w:val="0"/>
          <w:sz w:val="20"/>
        </w:rPr>
        <w:t>Yahoo Finance: MDB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