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5B4CFF"/>
          <w:sz w:val="40"/>
        </w:rPr>
        <w:t>ORACLE | Stripe Sessions Research</w:t>
      </w:r>
    </w:p>
    <w:p>
      <w:pPr>
        <w:spacing w:after="80"/>
        <w:jc w:val="center"/>
      </w:pPr>
      <w:r>
        <w:rPr>
          <w:rFonts w:ascii="Calibri" w:hAnsi="Calibri"/>
          <w:b w:val="0"/>
          <w:color w:val="000000"/>
          <w:sz w:val="24"/>
        </w:rPr>
        <w:t>SS Database Format</w:t>
      </w:r>
    </w:p>
    <w:p>
      <w:pPr>
        <w:spacing w:after="240"/>
        <w:jc w:val="center"/>
      </w:pPr>
      <w:r>
        <w:rPr>
          <w:rFonts w:ascii="Calibri" w:hAnsi="Calibri"/>
          <w:b w:val="0"/>
          <w:color w:val="666666"/>
          <w:sz w:val="20"/>
        </w:rPr>
        <w:t>Generated: 2026-04-21</w:t>
      </w:r>
    </w:p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COMPANY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Logo URL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https://upload.wikimedia.org/wikipedia/commons/5/50/Oracle_logo.svg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Nombre merchant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Oracle</w:t>
            </w:r>
          </w:p>
        </w:tc>
      </w:tr>
    </w:tbl>
    <w:p/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1: PAIN 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1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Multi-Product PSP Sprawl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1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Oracle Cloud, NetSuite, Hospitality, and Banking each use different PSPs and payment rails. No unified orchestration layer connects Adyen, JPMorgan, Stripe, and internal billing systems.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2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NetSuite Gateway Chaos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2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NetSuite supports 25+ payment gateways (Stripe, Adyen, Worldpay, Braintree, etc.) but each subsidiary configures its own profile. Multi-subsidiary companies manage fragmented PSP configs.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3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Global Billing Limits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3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Oracle Cloud billing accepts credit card, debit card, PayPal, and eCheck. Cannot process transactions of $100K+ via card. Local APMs vary by country with no unified coverage map.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4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Hospitality Payment Silos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4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Oracle Payments (powered by Adyen) serves 2,550+ organizations across 16,200+ venues in hospitality, restaurants, and sports. US/UK focused with limited LATAM/APAC local method coverage.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5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$100K Card Ceiling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5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Oracle corporate billing rejects virtual cards, prepaid cards, and any card transaction exceeding $99,999.99. Enterprise clients with large invoices must use wire transfers exclusively.</w:t>
            </w:r>
          </w:p>
        </w:tc>
      </w:tr>
    </w:tbl>
    <w:p/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1: PSP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1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Adyen (Oracle Payments)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2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JPMorgan Chase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3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Stripe (NetSuite)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4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Multiple (NetSuite 25+)</w:t>
            </w:r>
          </w:p>
        </w:tc>
      </w:tr>
    </w:tbl>
    <w:p/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1: MISSING LOCAL METHODS (BLIND SPOTS)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1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Pix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2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UPI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3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OXXO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4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SPEI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5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M-Pesa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6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GCash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7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BLIK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8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PSE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9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PromptPay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10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Konbini</w:t>
            </w:r>
          </w:p>
        </w:tc>
      </w:tr>
    </w:tbl>
    <w:p>
      <w:r>
        <w:br w:type="page"/>
      </w:r>
    </w:p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2: YUNO CAPABILITIES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1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Smart Routing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1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Per-transaction routing across Adyen, JPMorgan, Stripe, and 25+ NetSuite gateways. With $57.4B annual revenue and cloud growing 27% YoY, routing each SaaS renewal and POS transaction to the best acquirer per market delivers measurable cost savings at massive scale.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2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Failover &amp; Retries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2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Automatic cascade across Oracle's fragmented PSP stack. When Adyen declines a hospitality charge or Stripe fails a NetSuite invoice, Yuno reroutes to the next best acquirer in milliseconds. Up to 50% recovery. Critical for 16,200+ venues processing in real time.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3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Local Payment Methods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3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Extends Oracle's payment reach beyond US/UK: Pix in Brazil, UPI in India, OXXO in Mexico, M-Pesa in Kenya, GCash in Philippines. One API, 1,000+ methods. Oracle Cloud customers in 70+ sovereign regions get local payment options instantly.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4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Unified Orchestration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4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One dashboard unifying Adyen hospitality payments, JPMorgan ERP integrations, NetSuite multi-gateway configs, and Oracle Cloud billing. Centralized reconciliation, NOVA AI (75% recovery), real-time monitoring across all Oracle business units and 175+ countries.</w:t>
            </w:r>
          </w:p>
        </w:tc>
      </w:tr>
    </w:tbl>
    <w:p/>
    <w:p>
      <w:r>
        <w:br w:type="page"/>
      </w:r>
    </w:p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RESEARCH BACKING</w:t>
      </w:r>
    </w:p>
    <w:p>
      <w:pPr>
        <w:spacing w:after="120"/>
        <w:jc w:val="left"/>
      </w:pPr>
      <w:r>
        <w:rPr>
          <w:rFonts w:ascii="Calibri" w:hAnsi="Calibri"/>
          <w:b/>
          <w:color w:val="5B4CFF"/>
          <w:sz w:val="26"/>
        </w:rPr>
        <w:t>RESEARCH BACKING | Key Facts for the Meeting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Oracle at a glance:</w:t>
      </w:r>
    </w:p>
    <w:p>
      <w:pPr>
        <w:pStyle w:val="ListBullet"/>
      </w:pPr>
      <w:r>
        <w:rPr>
          <w:rFonts w:ascii="Calibri" w:hAnsi="Calibri"/>
          <w:sz w:val="20"/>
        </w:rPr>
        <w:t>Founded: 1977, HQ: Austin, TX. Public company (NYSE: ORCL)</w:t>
      </w:r>
    </w:p>
    <w:p>
      <w:pPr>
        <w:pStyle w:val="ListBullet"/>
      </w:pPr>
      <w:r>
        <w:rPr>
          <w:rFonts w:ascii="Calibri" w:hAnsi="Calibri"/>
          <w:sz w:val="20"/>
        </w:rPr>
        <w:t>Revenue: $57.4B (FY2025, +8.4% YoY). FY2026 forecast: $67B+ (+17%)</w:t>
      </w:r>
    </w:p>
    <w:p>
      <w:pPr>
        <w:pStyle w:val="ListBullet"/>
      </w:pPr>
      <w:r>
        <w:rPr>
          <w:rFonts w:ascii="Calibri" w:hAnsi="Calibri"/>
          <w:sz w:val="20"/>
        </w:rPr>
        <w:t>Cloud revenue: $27B ARR run rate exiting Q4 FY2025</w:t>
      </w:r>
    </w:p>
    <w:p>
      <w:pPr>
        <w:pStyle w:val="ListBullet"/>
      </w:pPr>
      <w:r>
        <w:rPr>
          <w:rFonts w:ascii="Calibri" w:hAnsi="Calibri"/>
          <w:sz w:val="20"/>
        </w:rPr>
        <w:t>Cloud Infrastructure (IaaS): $3B/quarter (+52% YoY Q4), accelerating to 70%+ growth FY2026</w:t>
      </w:r>
    </w:p>
    <w:p>
      <w:pPr>
        <w:pStyle w:val="ListBullet"/>
      </w:pPr>
      <w:r>
        <w:rPr>
          <w:rFonts w:ascii="Calibri" w:hAnsi="Calibri"/>
          <w:sz w:val="20"/>
        </w:rPr>
        <w:t>Cloud Applications (SaaS): $3.7B/quarter (+12% YoY)</w:t>
      </w:r>
    </w:p>
    <w:p>
      <w:pPr>
        <w:pStyle w:val="ListBullet"/>
      </w:pPr>
      <w:r>
        <w:rPr>
          <w:rFonts w:ascii="Calibri" w:hAnsi="Calibri"/>
          <w:sz w:val="20"/>
        </w:rPr>
        <w:t>Strategic SaaS ARR: $9.3B (+20% YoY)</w:t>
      </w:r>
    </w:p>
    <w:p>
      <w:pPr>
        <w:pStyle w:val="ListBullet"/>
      </w:pPr>
      <w:r>
        <w:rPr>
          <w:rFonts w:ascii="Calibri" w:hAnsi="Calibri"/>
          <w:sz w:val="20"/>
        </w:rPr>
        <w:t>Remaining Performance Obligations (RPO): $138B</w:t>
      </w:r>
    </w:p>
    <w:p>
      <w:pPr>
        <w:pStyle w:val="ListBullet"/>
      </w:pPr>
      <w:r>
        <w:rPr>
          <w:rFonts w:ascii="Calibri" w:hAnsi="Calibri"/>
          <w:sz w:val="20"/>
        </w:rPr>
        <w:t>Capital expenditure: ~$35B planned FY2026 for cloud/AI infrastructure</w:t>
      </w:r>
    </w:p>
    <w:p>
      <w:pPr>
        <w:pStyle w:val="ListBullet"/>
      </w:pPr>
      <w:r>
        <w:rPr>
          <w:rFonts w:ascii="Calibri" w:hAnsi="Calibri"/>
          <w:sz w:val="20"/>
        </w:rPr>
        <w:t>Employees: ~160,000+</w:t>
      </w:r>
    </w:p>
    <w:p>
      <w:pPr>
        <w:pStyle w:val="ListBullet"/>
      </w:pPr>
      <w:r>
        <w:rPr>
          <w:rFonts w:ascii="Calibri" w:hAnsi="Calibri"/>
          <w:sz w:val="20"/>
        </w:rPr>
        <w:t>Operations: 175+ countries</w:t>
      </w:r>
    </w:p>
    <w:p>
      <w:pPr>
        <w:pStyle w:val="ListBullet"/>
      </w:pPr>
      <w:r>
        <w:rPr>
          <w:rFonts w:ascii="Calibri" w:hAnsi="Calibri"/>
          <w:sz w:val="20"/>
        </w:rPr>
        <w:t>Cloud regions: 23 MultiCloud datacenters live, 47 more under construction; 29 Cloud@Customer dedicated datacenters</w:t>
      </w:r>
    </w:p>
    <w:p>
      <w:pPr>
        <w:pStyle w:val="ListBullet"/>
      </w:pPr>
      <w:r>
        <w:rPr>
          <w:rFonts w:ascii="Calibri" w:hAnsi="Calibri"/>
          <w:sz w:val="20"/>
        </w:rPr>
        <w:t>More sovereign regions than any major cloud provider</w:t>
      </w:r>
    </w:p>
    <w:p>
      <w:pPr>
        <w:pStyle w:val="ListBullet"/>
      </w:pPr>
      <w:r>
        <w:rPr>
          <w:rFonts w:ascii="Calibri" w:hAnsi="Calibri"/>
          <w:sz w:val="20"/>
        </w:rPr>
        <w:t>Key products: Oracle Cloud Infrastructure (OCI), Oracle Cloud Applications (Fusion ERP, HCM, CX), NetSuite (cloud ERP for SMBs), Oracle Hospitality (OPERA, Simphony POS), Oracle Health, Oracle Banking</w:t>
      </w:r>
    </w:p>
    <w:p>
      <w:pPr>
        <w:pStyle w:val="ListBullet"/>
      </w:pPr>
      <w:r>
        <w:rPr>
          <w:rFonts w:ascii="Calibri" w:hAnsi="Calibri"/>
          <w:sz w:val="20"/>
        </w:rPr>
        <w:t>CEO: Safra Catz, CTO/Founder: Larry Ellison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Confirmed PSP/Payment Stack:</w:t>
      </w:r>
    </w:p>
    <w:p>
      <w:pPr>
        <w:pStyle w:val="ListBullet"/>
      </w:pPr>
      <w:r>
        <w:rPr>
          <w:rFonts w:ascii="Calibri" w:hAnsi="Calibri"/>
          <w:sz w:val="20"/>
        </w:rPr>
        <w:t>Adyen: powers Oracle Payments for hospitality, restaurants, sports, entertainment, healthcare (Oct 2025 announcement). 2,550+ orgs, 16,200+ venues</w:t>
      </w:r>
    </w:p>
    <w:p>
      <w:pPr>
        <w:pStyle w:val="ListBullet"/>
      </w:pPr>
      <w:r>
        <w:rPr>
          <w:rFonts w:ascii="Calibri" w:hAnsi="Calibri"/>
          <w:sz w:val="20"/>
        </w:rPr>
        <w:t>JPMorgan Chase: expanded partnership for Oracle Fusion Cloud ERP and Simphony POS integrations (AI World 2025)</w:t>
      </w:r>
    </w:p>
    <w:p>
      <w:pPr>
        <w:pStyle w:val="ListBullet"/>
      </w:pPr>
      <w:r>
        <w:rPr>
          <w:rFonts w:ascii="Calibri" w:hAnsi="Calibri"/>
          <w:sz w:val="20"/>
        </w:rPr>
        <w:t>NetSuite Payment Gateways (25+ supported): Stripe, Adyen, Worldpay, Braintree, First Data, Global Payments, Heartland, Chase, Elavon, TSYS, Authorize.net, NMI, Shift4, Nuvei, DLocal, Square, Shopify Payments, and more</w:t>
      </w:r>
    </w:p>
    <w:p>
      <w:pPr>
        <w:pStyle w:val="ListBullet"/>
      </w:pPr>
      <w:r>
        <w:rPr>
          <w:rFonts w:ascii="Calibri" w:hAnsi="Calibri"/>
          <w:sz w:val="20"/>
        </w:rPr>
        <w:t>Oracle Cloud Billing: credit card, debit card, PayPal, eCheck</w:t>
      </w:r>
    </w:p>
    <w:p>
      <w:pPr>
        <w:pStyle w:val="ListBullet"/>
      </w:pPr>
      <w:r>
        <w:rPr>
          <w:rFonts w:ascii="Calibri" w:hAnsi="Calibri"/>
          <w:sz w:val="20"/>
        </w:rPr>
        <w:t>Oracle Banking Payments Cloud Service: ISO 20022 framework, real-time processing</w:t>
      </w:r>
    </w:p>
    <w:p>
      <w:pPr>
        <w:pStyle w:val="ListBullet"/>
      </w:pPr>
      <w:r>
        <w:rPr>
          <w:rFonts w:ascii="Calibri" w:hAnsi="Calibri"/>
          <w:sz w:val="20"/>
        </w:rPr>
        <w:t>No unified payment orchestrator across business units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Confirmed Payment Methods (Oracle Cloud Billing):</w:t>
      </w:r>
    </w:p>
    <w:p>
      <w:pPr>
        <w:pStyle w:val="ListBullet"/>
      </w:pPr>
      <w:r>
        <w:rPr>
          <w:rFonts w:ascii="Calibri" w:hAnsi="Calibri"/>
          <w:sz w:val="20"/>
        </w:rPr>
        <w:t>Credit card (Visa, MC, Amex)</w:t>
      </w:r>
    </w:p>
    <w:p>
      <w:pPr>
        <w:pStyle w:val="ListBullet"/>
      </w:pPr>
      <w:r>
        <w:rPr>
          <w:rFonts w:ascii="Calibri" w:hAnsi="Calibri"/>
          <w:sz w:val="20"/>
        </w:rPr>
        <w:t>Debit card</w:t>
      </w:r>
    </w:p>
    <w:p>
      <w:pPr>
        <w:pStyle w:val="ListBullet"/>
      </w:pPr>
      <w:r>
        <w:rPr>
          <w:rFonts w:ascii="Calibri" w:hAnsi="Calibri"/>
          <w:sz w:val="20"/>
        </w:rPr>
        <w:t>PayPal</w:t>
      </w:r>
    </w:p>
    <w:p>
      <w:pPr>
        <w:pStyle w:val="ListBullet"/>
      </w:pPr>
      <w:r>
        <w:rPr>
          <w:rFonts w:ascii="Calibri" w:hAnsi="Calibri"/>
          <w:sz w:val="20"/>
        </w:rPr>
        <w:t>eCheck</w:t>
      </w:r>
    </w:p>
    <w:p>
      <w:pPr>
        <w:pStyle w:val="ListBullet"/>
      </w:pPr>
      <w:r>
        <w:rPr>
          <w:rFonts w:ascii="Calibri" w:hAnsi="Calibri"/>
          <w:sz w:val="20"/>
        </w:rPr>
        <w:t>Virtual cards and prepaid cards: NOT accepted</w:t>
      </w:r>
    </w:p>
    <w:p>
      <w:pPr>
        <w:pStyle w:val="ListBullet"/>
      </w:pPr>
      <w:r>
        <w:rPr>
          <w:rFonts w:ascii="Calibri" w:hAnsi="Calibri"/>
          <w:sz w:val="20"/>
        </w:rPr>
        <w:t>Card transactions capped at $99,999.99</w:t>
      </w:r>
    </w:p>
    <w:p>
      <w:pPr>
        <w:pStyle w:val="ListBullet"/>
      </w:pPr>
      <w:r>
        <w:rPr>
          <w:rFonts w:ascii="Calibri" w:hAnsi="Calibri"/>
          <w:sz w:val="20"/>
        </w:rPr>
        <w:t>Additional methods available by country (not specified publicly)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Oracle Payments (Hospitality, via Adyen):</w:t>
      </w:r>
    </w:p>
    <w:p>
      <w:pPr>
        <w:pStyle w:val="ListBullet"/>
      </w:pPr>
      <w:r>
        <w:rPr>
          <w:rFonts w:ascii="Calibri" w:hAnsi="Calibri"/>
          <w:sz w:val="20"/>
        </w:rPr>
        <w:t>Credit/debit cards</w:t>
      </w:r>
    </w:p>
    <w:p>
      <w:pPr>
        <w:pStyle w:val="ListBullet"/>
      </w:pPr>
      <w:r>
        <w:rPr>
          <w:rFonts w:ascii="Calibri" w:hAnsi="Calibri"/>
          <w:sz w:val="20"/>
        </w:rPr>
        <w:t>Apple Pay, Samsung Pay, Google Pay</w:t>
      </w:r>
    </w:p>
    <w:p>
      <w:pPr>
        <w:pStyle w:val="ListBullet"/>
      </w:pPr>
      <w:r>
        <w:rPr>
          <w:rFonts w:ascii="Calibri" w:hAnsi="Calibri"/>
          <w:sz w:val="20"/>
        </w:rPr>
        <w:t>Contactless payments</w:t>
      </w:r>
    </w:p>
    <w:p>
      <w:pPr>
        <w:pStyle w:val="ListBullet"/>
      </w:pPr>
      <w:r>
        <w:rPr>
          <w:rFonts w:ascii="Calibri" w:hAnsi="Calibri"/>
          <w:sz w:val="20"/>
        </w:rPr>
        <w:t>Focus: US and UK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NetSuite (customer configured):</w:t>
      </w:r>
    </w:p>
    <w:p>
      <w:pPr>
        <w:pStyle w:val="ListBullet"/>
      </w:pPr>
      <w:r>
        <w:rPr>
          <w:rFonts w:ascii="Calibri" w:hAnsi="Calibri"/>
          <w:sz w:val="20"/>
        </w:rPr>
        <w:t>Depends on which of 25+ gateways the customer selects</w:t>
      </w:r>
    </w:p>
    <w:p>
      <w:pPr>
        <w:pStyle w:val="ListBullet"/>
      </w:pPr>
      <w:r>
        <w:rPr>
          <w:rFonts w:ascii="Calibri" w:hAnsi="Calibri"/>
          <w:sz w:val="20"/>
        </w:rPr>
        <w:t>Adyen integration supports iDEAL, Klarna, Google Pay, and "many others" per Adyen docs</w:t>
      </w:r>
    </w:p>
    <w:p>
      <w:pPr>
        <w:pStyle w:val="ListBullet"/>
      </w:pPr>
      <w:r>
        <w:rPr>
          <w:rFonts w:ascii="Calibri" w:hAnsi="Calibri"/>
          <w:sz w:val="20"/>
        </w:rPr>
        <w:t>Multi-subsidiary companies can configure different gateways per subsidiary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Top 5 Markets Gap Analysis:</w:t>
      </w:r>
    </w:p>
    <w:p>
      <w:pPr>
        <w:spacing w:after="60"/>
      </w:pPr>
      <w:r>
        <w:rPr>
          <w:rFonts w:ascii="Calibri" w:hAnsi="Calibri"/>
          <w:sz w:val="20"/>
        </w:rPr>
        <w:t>MARKET 1: United States (primary market, largest revenue contributor)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Visa/MC/Amex, PayPal, eCheck, Apple Pay, Google Pay, Samsung Pay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ACH direct (Oracle Cloud billing), RTP/FedNow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Enterprise billing over $100K cannot use cards. ACH/RTP would enable large invoice payments.</w:t>
      </w:r>
    </w:p>
    <w:p>
      <w:pPr>
        <w:spacing w:after="60"/>
      </w:pPr>
      <w:r>
        <w:rPr>
          <w:rFonts w:ascii="Calibri" w:hAnsi="Calibri"/>
          <w:sz w:val="20"/>
        </w:rPr>
        <w:t>MARKET 2: United Kingdom (Oracle Payments live)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Cards, contactless, Apple Pay, Google Pay (via Adyen)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Open Banking (PayByBank), Faster Payments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Open Banking enables instant, low-cost enterprise invoice payments bypassing card fees.</w:t>
      </w:r>
    </w:p>
    <w:p>
      <w:pPr>
        <w:spacing w:after="60"/>
      </w:pPr>
      <w:r>
        <w:rPr>
          <w:rFonts w:ascii="Calibri" w:hAnsi="Calibri"/>
          <w:sz w:val="20"/>
        </w:rPr>
        <w:t>MARKET 3: India (sovereign cloud region, OCI expanding)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Credit/debit cards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UPI, RuPay, NetBanking, Paytm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India UPI handles 80%+ of digital payments. Oracle Cloud subscriptions in India lack the dominant payment method.</w:t>
      </w:r>
    </w:p>
    <w:p>
      <w:pPr>
        <w:spacing w:after="60"/>
      </w:pPr>
      <w:r>
        <w:rPr>
          <w:rFonts w:ascii="Calibri" w:hAnsi="Calibri"/>
          <w:sz w:val="20"/>
        </w:rPr>
        <w:t>MARKET 4: Brazil (sovereign cloud region)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Credit/debit cards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Pix, Boleto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Pix processes 40%+ of Brazilian online transactions. Oracle Cloud and NetSuite customers in Brazil need local rails.</w:t>
      </w:r>
    </w:p>
    <w:p>
      <w:pPr>
        <w:spacing w:after="60"/>
      </w:pPr>
      <w:r>
        <w:rPr>
          <w:rFonts w:ascii="Calibri" w:hAnsi="Calibri"/>
          <w:sz w:val="20"/>
        </w:rPr>
        <w:t>MARKET 5: Japan (cloud region)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Credit/debit cards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Konbini, PayPay, Line Pay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Konbini (convenience store payments) is critical for Japanese enterprise software billing.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Key meeting angles:</w:t>
      </w:r>
    </w:p>
    <w:p>
      <w:pPr>
        <w:spacing w:after="60"/>
      </w:pPr>
      <w:r>
        <w:rPr>
          <w:rFonts w:ascii="Calibri" w:hAnsi="Calibri"/>
          <w:sz w:val="20"/>
        </w:rPr>
        <w:t>1. **$57.4B revenue company with no unified payment orchestration** | Each business unit (Cloud, NetSuite, Hospitality, Banking) operates separate payment stacks</w:t>
      </w:r>
    </w:p>
    <w:p>
      <w:pPr>
        <w:spacing w:after="60"/>
      </w:pPr>
      <w:r>
        <w:rPr>
          <w:rFonts w:ascii="Calibri" w:hAnsi="Calibri"/>
          <w:sz w:val="20"/>
        </w:rPr>
        <w:t>2. **Adyen hospitality partnership is US/UK only** | 2,550+ orgs, 16,200+ venues but limited LATAM/APAC local method coverage</w:t>
      </w:r>
    </w:p>
    <w:p>
      <w:pPr>
        <w:spacing w:after="60"/>
      </w:pPr>
      <w:r>
        <w:rPr>
          <w:rFonts w:ascii="Calibri" w:hAnsi="Calibri"/>
          <w:sz w:val="20"/>
        </w:rPr>
        <w:t>3. **NetSuite 25+ gateway fragmentation** | Multi-subsidiary companies configure separate payment profiles per gateway per subsidiary. Orchestration unifies this instantly.</w:t>
      </w:r>
    </w:p>
    <w:p>
      <w:pPr>
        <w:spacing w:after="60"/>
      </w:pPr>
      <w:r>
        <w:rPr>
          <w:rFonts w:ascii="Calibri" w:hAnsi="Calibri"/>
          <w:sz w:val="20"/>
        </w:rPr>
        <w:t>4. **Oracle Cloud billing $100K ceiling** | Enterprise clients with large cloud bills cannot pay by card. Orchestration can route to bank transfer rails automatically.</w:t>
      </w:r>
    </w:p>
    <w:p>
      <w:pPr>
        <w:spacing w:after="60"/>
      </w:pPr>
      <w:r>
        <w:rPr>
          <w:rFonts w:ascii="Calibri" w:hAnsi="Calibri"/>
          <w:sz w:val="20"/>
        </w:rPr>
        <w:t>5. **70+ sovereign cloud regions** | Oracle operates more sovereign regions than any competitor. Each region needs local payment method coverage.</w:t>
      </w:r>
    </w:p>
    <w:p>
      <w:pPr>
        <w:spacing w:after="60"/>
      </w:pPr>
      <w:r>
        <w:rPr>
          <w:rFonts w:ascii="Calibri" w:hAnsi="Calibri"/>
          <w:sz w:val="20"/>
        </w:rPr>
        <w:t>6. **JPMorgan partnership expanding** | ERP and POS payment integrations growing; adding Yuno orchestration on top amplifies the value</w:t>
      </w:r>
    </w:p>
    <w:p>
      <w:pPr>
        <w:spacing w:after="60"/>
      </w:pPr>
      <w:r>
        <w:rPr>
          <w:rFonts w:ascii="Calibri" w:hAnsi="Calibri"/>
          <w:sz w:val="20"/>
        </w:rPr>
        <w:t>7. **$35B capex FY2026** | Massive infrastructure investment signals growth phase where payment optimization matters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Sources:</w:t>
      </w:r>
    </w:p>
    <w:p>
      <w:pPr>
        <w:pStyle w:val="ListBullet"/>
      </w:pPr>
      <w:r>
        <w:rPr>
          <w:rFonts w:ascii="Calibri" w:hAnsi="Calibri"/>
          <w:sz w:val="20"/>
        </w:rPr>
        <w:t>[Oracle: Payments (Hospitality)](https://www.oracle.com/industries/payments/)</w:t>
      </w:r>
    </w:p>
    <w:p>
      <w:pPr>
        <w:pStyle w:val="ListBullet"/>
      </w:pPr>
      <w:r>
        <w:rPr>
          <w:rFonts w:ascii="Calibri" w:hAnsi="Calibri"/>
          <w:sz w:val="20"/>
        </w:rPr>
        <w:t>[Oracle News: Enterprises Adopt Oracle Payments Powered by Adyen](https://www.oracle.com/news/announcement/enterprises-rapidly-adopt-oracle-payments-powered-by-adyen-to-offer-seamless-customer-experiences-2025-10-23/)</w:t>
      </w:r>
    </w:p>
    <w:p>
      <w:pPr>
        <w:pStyle w:val="ListBullet"/>
      </w:pPr>
      <w:r>
        <w:rPr>
          <w:rFonts w:ascii="Calibri" w:hAnsi="Calibri"/>
          <w:sz w:val="20"/>
        </w:rPr>
        <w:t>[JPMorgan: Oracle Partnership Expansion](https://www.jpmorgan.com/payments/newsroom/oracle-partnership-expansion-erp-integrations)</w:t>
      </w:r>
    </w:p>
    <w:p>
      <w:pPr>
        <w:pStyle w:val="ListBullet"/>
      </w:pPr>
      <w:r>
        <w:rPr>
          <w:rFonts w:ascii="Calibri" w:hAnsi="Calibri"/>
          <w:sz w:val="20"/>
        </w:rPr>
        <w:t>[Oracle: Billing and Cost Management](https://docs.oracle.com/en-us/iaas/Content/Billing/Concepts/billingoverview.htm)</w:t>
      </w:r>
    </w:p>
    <w:p>
      <w:pPr>
        <w:pStyle w:val="ListBullet"/>
      </w:pPr>
      <w:r>
        <w:rPr>
          <w:rFonts w:ascii="Calibri" w:hAnsi="Calibri"/>
          <w:sz w:val="20"/>
        </w:rPr>
        <w:t>[Oracle: Available Payment Options](https://supportrenewalshelp.oracle.com/app/answers/detail/a_id/1217)</w:t>
      </w:r>
    </w:p>
    <w:p>
      <w:pPr>
        <w:pStyle w:val="ListBullet"/>
      </w:pPr>
      <w:r>
        <w:rPr>
          <w:rFonts w:ascii="Calibri" w:hAnsi="Calibri"/>
          <w:sz w:val="20"/>
        </w:rPr>
        <w:t>[Oracle: My Oracle Billing FAQs](https://www.oracle.com/corporate/invoicing/faqs/)</w:t>
      </w:r>
    </w:p>
    <w:p>
      <w:pPr>
        <w:pStyle w:val="ListBullet"/>
      </w:pPr>
      <w:r>
        <w:rPr>
          <w:rFonts w:ascii="Calibri" w:hAnsi="Calibri"/>
          <w:sz w:val="20"/>
        </w:rPr>
        <w:t>[NetSuite: Payment Gateway Docs](https://docs.oracle.com/en/cloud/saas/netsuite/ns-online-help/section_3803057063.html)</w:t>
      </w:r>
    </w:p>
    <w:p>
      <w:pPr>
        <w:pStyle w:val="ListBullet"/>
      </w:pPr>
      <w:r>
        <w:rPr>
          <w:rFonts w:ascii="Calibri" w:hAnsi="Calibri"/>
          <w:sz w:val="20"/>
        </w:rPr>
        <w:t>[NetSuite: Payment Processing Profiles](https://docs.oracle.com/en/cloud/saas/netsuite/ns-online-help/section_N1572588.html)</w:t>
      </w:r>
    </w:p>
    <w:p>
      <w:pPr>
        <w:pStyle w:val="ListBullet"/>
      </w:pPr>
      <w:r>
        <w:rPr>
          <w:rFonts w:ascii="Calibri" w:hAnsi="Calibri"/>
          <w:sz w:val="20"/>
        </w:rPr>
        <w:t>[Adyen Docs: NetSuite Integration](https://docs.adyen.com/plugins/netsuite)</w:t>
      </w:r>
    </w:p>
    <w:p>
      <w:pPr>
        <w:pStyle w:val="ListBullet"/>
      </w:pPr>
      <w:r>
        <w:rPr>
          <w:rFonts w:ascii="Calibri" w:hAnsi="Calibri"/>
          <w:sz w:val="20"/>
        </w:rPr>
        <w:t>[Adyen: NetSuite Payments Bundle](https://www.adyen.com/partners/netsuite)</w:t>
      </w:r>
    </w:p>
    <w:p>
      <w:pPr>
        <w:pStyle w:val="ListBullet"/>
      </w:pPr>
      <w:r>
        <w:rPr>
          <w:rFonts w:ascii="Calibri" w:hAnsi="Calibri"/>
          <w:sz w:val="20"/>
        </w:rPr>
        <w:t>[NetSuite: Payment Orchestration Article](https://www.netsuite.com/portal/resource/articles/accounting/payment-orchestration.shtml)</w:t>
      </w:r>
    </w:p>
    <w:p>
      <w:pPr>
        <w:pStyle w:val="ListBullet"/>
      </w:pPr>
      <w:r>
        <w:rPr>
          <w:rFonts w:ascii="Calibri" w:hAnsi="Calibri"/>
          <w:sz w:val="20"/>
        </w:rPr>
        <w:t>[Oracle Investor Relations: FY2025 Q4 Results](https://investor.oracle.com/investor-news/news-details/2025/Oracle-Announces-Fiscal-2025-Fourth-Quarter-and-Fiscal-Full-Year-Financial-Results/default.aspx)</w:t>
      </w:r>
    </w:p>
    <w:p>
      <w:pPr>
        <w:pStyle w:val="ListBullet"/>
      </w:pPr>
      <w:r>
        <w:rPr>
          <w:rFonts w:ascii="Calibri" w:hAnsi="Calibri"/>
          <w:sz w:val="20"/>
        </w:rPr>
        <w:t>[Oracle Investor Relations: FY2026 Q2 Results](https://investor.oracle.com/investor-news/news-details/2025/Oracle-Announces-Fiscal-Year-2026-Second-Quarter-Financial-Results/default.aspx)</w:t>
      </w:r>
    </w:p>
    <w:p>
      <w:pPr>
        <w:pStyle w:val="ListBullet"/>
      </w:pPr>
      <w:r>
        <w:rPr>
          <w:rFonts w:ascii="Calibri" w:hAnsi="Calibri"/>
          <w:sz w:val="20"/>
        </w:rPr>
        <w:t>[Futurum: Oracle Q4 FY2025 Results](https://futurumgroup.com/insights/oracle-delivers-q4-fy-2025-results-with-27-cloud-growth-rpo-hits-138-billion/)</w:t>
      </w:r>
    </w:p>
    <w:p>
      <w:pPr>
        <w:pStyle w:val="ListBullet"/>
      </w:pPr>
      <w:r>
        <w:rPr>
          <w:rFonts w:ascii="Calibri" w:hAnsi="Calibri"/>
          <w:sz w:val="20"/>
        </w:rPr>
        <w:t>[Constellation Research: Oracle Cloud Revenue](https://www.constellationr.com/blog-news/insights/oracle-cloud-s-annual-revenue-run-rate-exiting-q4-nears-27-billion)</w:t>
      </w:r>
    </w:p>
    <w:p>
      <w:pPr>
        <w:pStyle w:val="ListBullet"/>
      </w:pPr>
      <w:r>
        <w:rPr>
          <w:rFonts w:ascii="Calibri" w:hAnsi="Calibri"/>
          <w:sz w:val="20"/>
        </w:rPr>
        <w:t>[SensePass: NetSuite Payment Gateway Guide](https://sensepass.com/netsuite-payment-gateway-integration-guide/)</w:t>
      </w:r>
    </w:p>
    <w:p>
      <w:pPr>
        <w:pStyle w:val="ListBullet"/>
      </w:pPr>
      <w:r>
        <w:rPr>
          <w:rFonts w:ascii="Calibri" w:hAnsi="Calibri"/>
          <w:sz w:val="20"/>
        </w:rPr>
        <w:t>[BrokenRubik: NetSuite Payment Gateways](https://www.brokenrubik.com/blog/netsuite-payment-gateways)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