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5B4CFF"/>
        </w:rPr>
        <w:t>SPEECHIFY | Stripe Sessions Research</w:t>
      </w:r>
    </w:p>
    <w:p>
      <w:r>
        <w:rPr>
          <w:i/>
        </w:rPr>
        <w:t>Generated: 2026-04-21</w:t>
      </w:r>
    </w:p>
    <w:p>
      <w:pPr>
        <w:pStyle w:val="Heading2"/>
      </w:pPr>
      <w:r>
        <w:rPr>
          <w:rFonts w:ascii="Calibri" w:hAnsi="Calibri"/>
          <w:color w:val="5B4CFF"/>
        </w:rPr>
        <w:t>DATABASE FIELDS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https://upload.wikimedia.org/wikipedia/commons/1/19/Speechify-logo.svg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Speechify</w:t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Point_1: </w:t>
      </w:r>
      <w:r>
        <w:rPr>
          <w:rFonts w:ascii="Calibri" w:hAnsi="Calibri"/>
          <w:sz w:val="20"/>
        </w:rPr>
        <w:t>IAP Fee Dependency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Premium subscriptions at $29/mo flow primarily through Apple/Google IAP, surrendering 15 to 30% per transaction. With $17.6M ARR and 50M+ users, millions are lost to platform fees annually.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Point_2: </w:t>
      </w:r>
      <w:r>
        <w:rPr>
          <w:rFonts w:ascii="Calibri" w:hAnsi="Calibri"/>
          <w:sz w:val="20"/>
        </w:rPr>
        <w:t>Auth Rate Leakage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Users report accidental annual charges ($139 to $287) and failed payment processing. International card declines block conversions across 200 countries and 60+ language markets.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Point_3: </w:t>
      </w:r>
      <w:r>
        <w:rPr>
          <w:rFonts w:ascii="Calibri" w:hAnsi="Calibri"/>
          <w:sz w:val="20"/>
        </w:rPr>
        <w:t>Zero Local APMs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50M+ users across 200 countries, yet web checkout only accepts credit cards and PayPal. No Pix, UPI, iDEAL, BLIK, or local wallets in any market.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Point_4: </w:t>
      </w:r>
      <w:r>
        <w:rPr>
          <w:rFonts w:ascii="Calibri" w:hAnsi="Calibri"/>
          <w:sz w:val="20"/>
        </w:rPr>
        <w:t>Single PSP Dependency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Terms reference a single unnamed "third party payment processor." No failover, no routing optimization. One PSP outage blocks all web subscription revenue.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Point_5: </w:t>
      </w:r>
      <w:r>
        <w:rPr>
          <w:rFonts w:ascii="Calibri" w:hAnsi="Calibri"/>
          <w:sz w:val="20"/>
        </w:rPr>
        <w:t>Chargeback Exposure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Trustpilot reviews show billing disputes: surprise annual charges, trial to paid conversions without notice, difficulty canceling. High dispute rates increase processing costs.</w:t>
      </w:r>
    </w:p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PSP_1: </w:t>
      </w:r>
      <w:r>
        <w:rPr>
          <w:rFonts w:ascii="Calibri" w:hAnsi="Calibri"/>
          <w:sz w:val="20"/>
        </w:rPr>
        <w:t>Stripe [INFERENCE]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PSP_2: </w:t>
      </w:r>
      <w:r>
        <w:rPr>
          <w:rFonts w:ascii="Calibri" w:hAnsi="Calibri"/>
          <w:sz w:val="20"/>
        </w:rPr>
        <w:t>Apple App Store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PSP_3: </w:t>
      </w:r>
      <w:r>
        <w:rPr>
          <w:rFonts w:ascii="Calibri" w:hAnsi="Calibri"/>
          <w:sz w:val="20"/>
        </w:rPr>
        <w:t>Google Play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PSP_4: </w:t>
      </w:r>
      <w:r>
        <w:rPr>
          <w:rFonts w:ascii="Calibri" w:hAnsi="Calibri"/>
          <w:sz w:val="20"/>
        </w:rPr>
        <w:t>PayPal</w:t>
      </w:r>
    </w:p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Local_M_1: </w:t>
      </w:r>
      <w:r>
        <w:rPr>
          <w:rFonts w:ascii="Calibri" w:hAnsi="Calibri"/>
          <w:sz w:val="20"/>
        </w:rPr>
        <w:t>Pix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Local_M_2: </w:t>
      </w:r>
      <w:r>
        <w:rPr>
          <w:rFonts w:ascii="Calibri" w:hAnsi="Calibri"/>
          <w:sz w:val="20"/>
        </w:rPr>
        <w:t>UPI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Local_M_3: </w:t>
      </w:r>
      <w:r>
        <w:rPr>
          <w:rFonts w:ascii="Calibri" w:hAnsi="Calibri"/>
          <w:sz w:val="20"/>
        </w:rPr>
        <w:t>iDEAL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Local_M_4: </w:t>
      </w:r>
      <w:r>
        <w:rPr>
          <w:rFonts w:ascii="Calibri" w:hAnsi="Calibri"/>
          <w:sz w:val="20"/>
        </w:rPr>
        <w:t>BLIK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Local_M_5: </w:t>
      </w:r>
      <w:r>
        <w:rPr>
          <w:rFonts w:ascii="Calibri" w:hAnsi="Calibri"/>
          <w:sz w:val="20"/>
        </w:rPr>
        <w:t>Boleto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Local_M_6: </w:t>
      </w:r>
      <w:r>
        <w:rPr>
          <w:rFonts w:ascii="Calibri" w:hAnsi="Calibri"/>
          <w:sz w:val="20"/>
        </w:rPr>
        <w:t>OXXO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Local_M_7: </w:t>
      </w:r>
      <w:r>
        <w:rPr>
          <w:rFonts w:ascii="Calibri" w:hAnsi="Calibri"/>
          <w:sz w:val="20"/>
        </w:rPr>
        <w:t>SEPA Direct Debit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Local_M_8: </w:t>
      </w:r>
      <w:r>
        <w:rPr>
          <w:rFonts w:ascii="Calibri" w:hAnsi="Calibri"/>
          <w:sz w:val="20"/>
        </w:rPr>
        <w:t>Konbini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Local_M_9: </w:t>
      </w:r>
      <w:r>
        <w:rPr>
          <w:rFonts w:ascii="Calibri" w:hAnsi="Calibri"/>
          <w:sz w:val="20"/>
        </w:rPr>
        <w:t>GCash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Local_M_10: </w:t>
      </w:r>
      <w:r>
        <w:rPr>
          <w:rFonts w:ascii="Calibri" w:hAnsi="Calibri"/>
          <w:sz w:val="20"/>
        </w:rPr>
        <w:t>KakaoPay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Tittle_Yuno_Cap1: </w:t>
      </w:r>
      <w:r>
        <w:rPr>
          <w:rFonts w:ascii="Calibri" w:hAnsi="Calibri"/>
          <w:sz w:val="20"/>
        </w:rPr>
        <w:t>Smart Routing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Speechify Premium renewal through the optimal acquirer per card BIN, issuer, and market. With $17.6M ARR and 50M+ users across 200 countries, even 3% auth uplift recovers $530K+ annually. Web checkout recaptures IAP margin.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Tittle_Yuno_Cap2: </w:t>
      </w:r>
      <w:r>
        <w:rPr>
          <w:rFonts w:ascii="Calibri" w:hAnsi="Calibri"/>
          <w:sz w:val="20"/>
        </w:rPr>
        <w:t>Failover &amp; Retries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Eliminate single PSP dependency. When the primary processor declines, Yuno cascades to the next best acquirer in milliseconds. Up to 50% recovery on failed transactions. NOVA AI re-engages churned subscribers, recovering up to 75%.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Tittle_Yuno_Cap3: </w:t>
      </w:r>
      <w:r>
        <w:rPr>
          <w:rFonts w:ascii="Calibri" w:hAnsi="Calibri"/>
          <w:sz w:val="20"/>
        </w:rPr>
        <w:t>Local Payment Methods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Activate Pix in Brazil, UPI in India, iDEAL in Netherlands, BLIK in Poland, SEPA DD in Germany, Konbini in Japan, GCash in Philippines. One API, 1,000+ methods across 200+ countries. Matches Speechify's 60+ language footprint.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Tittle_Yuno_Cap4: </w:t>
      </w:r>
      <w:r>
        <w:rPr>
          <w:rFonts w:ascii="Calibri" w:hAnsi="Calibri"/>
          <w:sz w:val="20"/>
        </w:rPr>
        <w:t>Unified Orchestration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unifying the web PSP, Apple IAP, Google Play, and PayPal into a single view. Real time approval rate monitoring, centralized reconciliation across all providers and currencies, millisecond anomaly detection via Monitors.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RESEARCH BACKING</w:t>
      </w:r>
    </w:p>
    <w:p>
      <w:pPr>
        <w:pStyle w:val="ListBullet"/>
      </w:pPr>
      <w:r>
        <w:t>Speechify at a glance:</w:t>
      </w:r>
    </w:p>
    <w:p>
      <w:pPr>
        <w:pStyle w:val="ListBullet2"/>
      </w:pPr>
      <w:r>
        <w:t>$17.6M ARR, 50M+ users, 200 countries</w:t>
      </w:r>
    </w:p>
    <w:p>
      <w:pPr>
        <w:pStyle w:val="ListBullet2"/>
      </w:pPr>
      <w:r>
        <w:t>160 employees, fully remote</w:t>
      </w:r>
    </w:p>
    <w:p>
      <w:pPr>
        <w:pStyle w:val="ListBullet2"/>
      </w:pPr>
      <w:r>
        <w:t>Products: TTS, Voiceover, Voice Cloning, API</w:t>
      </w:r>
    </w:p>
    <w:p>
      <w:pPr>
        <w:pStyle w:val="ListBullet2"/>
      </w:pPr>
      <w:r>
        <w:t>CEO: Cliff Weitzman, CTO: Azeem Ahmad</w:t>
      </w:r>
    </w:p>
    <w:p>
      <w:pPr>
        <w:pStyle w:val="ListBullet2"/>
      </w:pPr>
      <w:r>
        <w:t>Apple Design Award winner (WWDC 2025)</w:t>
      </w:r>
    </w:p>
    <w:p>
      <w:pPr>
        <w:pStyle w:val="ListBullet2"/>
      </w:pPr>
      <w:r>
        <w:t>Premium: $29/mo or $139/year</w:t>
      </w:r>
    </w:p>
    <w:p>
      <w:pPr>
        <w:pStyle w:val="Heading3"/>
      </w:pPr>
      <w:r>
        <w:rPr>
          <w:rFonts w:ascii="Calibri" w:hAnsi="Calibri"/>
          <w:color w:val="5B4CFF"/>
        </w:rPr>
        <w:t>Confirmed PSPs</w:t>
      </w:r>
    </w:p>
    <w:p>
      <w:pPr>
        <w:pStyle w:val="ListBullet"/>
      </w:pPr>
      <w:r>
        <w:t>Apple App Store: iOS IAP</w:t>
      </w:r>
    </w:p>
    <w:p>
      <w:pPr>
        <w:pStyle w:val="ListBullet"/>
      </w:pPr>
      <w:r>
        <w:t>Google Play: Android IAP</w:t>
      </w:r>
    </w:p>
    <w:p>
      <w:pPr>
        <w:pStyle w:val="ListBullet"/>
      </w:pPr>
      <w:r>
        <w:t>PayPal: web checkout</w:t>
      </w:r>
    </w:p>
    <w:p>
      <w:pPr>
        <w:pStyle w:val="ListBullet"/>
      </w:pPr>
      <w:r>
        <w:t>Unnamed 3rd party processor (likely Stripe)</w:t>
      </w:r>
    </w:p>
    <w:p>
      <w:pPr>
        <w:pStyle w:val="ListBullet"/>
      </w:pPr>
      <w:r>
        <w:t>No orchestrator detected</w:t>
      </w:r>
    </w:p>
    <w:p>
      <w:pPr>
        <w:pStyle w:val="Heading3"/>
      </w:pPr>
      <w:r>
        <w:rPr>
          <w:rFonts w:ascii="Calibri" w:hAnsi="Calibri"/>
          <w:color w:val="5B4CFF"/>
        </w:rPr>
        <w:t>Top 5 Markets Gap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Market</w:t>
            </w:r>
          </w:p>
        </w:tc>
        <w:tc>
          <w:tcPr>
            <w:tcW w:type="dxa" w:w="2160"/>
          </w:tcPr>
          <w:p>
            <w:r>
              <w:t>Currently Offer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Why It Matters</w:t>
            </w:r>
          </w:p>
        </w:tc>
      </w:tr>
      <w:tr>
        <w:tc>
          <w:tcPr>
            <w:tcW w:type="dxa" w:w="2160"/>
          </w:tcPr>
          <w:p>
            <w:r>
              <w:t>United States (primary)</w:t>
            </w:r>
          </w:p>
        </w:tc>
        <w:tc>
          <w:tcPr>
            <w:tcW w:type="dxa" w:w="2160"/>
          </w:tcPr>
          <w:p>
            <w:r>
              <w:t>Visa/MC, PayPal, Apple/Google IAP</w:t>
            </w:r>
          </w:p>
        </w:tc>
        <w:tc>
          <w:tcPr>
            <w:tcW w:type="dxa" w:w="2160"/>
          </w:tcPr>
          <w:p>
            <w:r>
              <w:t>ACH, Cash App, Venmo</w:t>
            </w:r>
          </w:p>
        </w:tc>
        <w:tc>
          <w:tcPr>
            <w:tcW w:type="dxa" w:w="2160"/>
          </w:tcPr>
          <w:p>
            <w:r>
              <w:t>Core market; web bypasses IAP fees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Visa/MC, Apple/Google IAP</w:t>
            </w:r>
          </w:p>
        </w:tc>
        <w:tc>
          <w:tcPr>
            <w:tcW w:type="dxa" w:w="2160"/>
          </w:tcPr>
          <w:p>
            <w:r>
              <w:t>UPI, RuPay, Paytm</w:t>
            </w:r>
          </w:p>
        </w:tc>
        <w:tc>
          <w:tcPr>
            <w:tcW w:type="dxa" w:w="2160"/>
          </w:tcPr>
          <w:p>
            <w:r>
              <w:t>75%+ payments via UPI; huge TTS demand</w:t>
            </w:r>
          </w:p>
        </w:tc>
      </w:tr>
      <w:tr>
        <w:tc>
          <w:tcPr>
            <w:tcW w:type="dxa" w:w="2160"/>
          </w:tcPr>
          <w:p>
            <w:r>
              <w:t>Brazil</w:t>
            </w:r>
          </w:p>
        </w:tc>
        <w:tc>
          <w:tcPr>
            <w:tcW w:type="dxa" w:w="2160"/>
          </w:tcPr>
          <w:p>
            <w:r>
              <w:t>Visa/MC, Apple/Google IAP</w:t>
            </w:r>
          </w:p>
        </w:tc>
        <w:tc>
          <w:tcPr>
            <w:tcW w:type="dxa" w:w="2160"/>
          </w:tcPr>
          <w:p>
            <w:r>
              <w:t>Pix, Boleto</w:t>
            </w:r>
          </w:p>
        </w:tc>
        <w:tc>
          <w:tcPr>
            <w:tcW w:type="dxa" w:w="2160"/>
          </w:tcPr>
          <w:p>
            <w:r>
              <w:t>Pix = 70%+ digital payments</w:t>
            </w:r>
          </w:p>
        </w:tc>
      </w:tr>
      <w:tr>
        <w:tc>
          <w:tcPr>
            <w:tcW w:type="dxa" w:w="2160"/>
          </w:tcPr>
          <w:p>
            <w:r>
              <w:t>Germany/EU</w:t>
            </w:r>
          </w:p>
        </w:tc>
        <w:tc>
          <w:tcPr>
            <w:tcW w:type="dxa" w:w="2160"/>
          </w:tcPr>
          <w:p>
            <w:r>
              <w:t>Visa/MC, PayPal, IAP</w:t>
            </w:r>
          </w:p>
        </w:tc>
        <w:tc>
          <w:tcPr>
            <w:tcW w:type="dxa" w:w="2160"/>
          </w:tcPr>
          <w:p>
            <w:r>
              <w:t>SEPA DD, iDEAL, BLIK</w:t>
            </w:r>
          </w:p>
        </w:tc>
        <w:tc>
          <w:tcPr>
            <w:tcW w:type="dxa" w:w="2160"/>
          </w:tcPr>
          <w:p>
            <w:r>
              <w:t>EU accessibility mandates drive TTS</w:t>
            </w:r>
          </w:p>
        </w:tc>
      </w:tr>
      <w:tr>
        <w:tc>
          <w:tcPr>
            <w:tcW w:type="dxa" w:w="2160"/>
          </w:tcPr>
          <w:p>
            <w:r>
              <w:t>Japan/South Korea</w:t>
            </w:r>
          </w:p>
        </w:tc>
        <w:tc>
          <w:tcPr>
            <w:tcW w:type="dxa" w:w="2160"/>
          </w:tcPr>
          <w:p>
            <w:r>
              <w:t>Visa/MC, IAP</w:t>
            </w:r>
          </w:p>
        </w:tc>
        <w:tc>
          <w:tcPr>
            <w:tcW w:type="dxa" w:w="2160"/>
          </w:tcPr>
          <w:p>
            <w:r>
              <w:t>Konbini, KakaoPay</w:t>
            </w:r>
          </w:p>
        </w:tc>
        <w:tc>
          <w:tcPr>
            <w:tcW w:type="dxa" w:w="2160"/>
          </w:tcPr>
          <w:p>
            <w:r>
              <w:t>Alt payments dominate both markets</w:t>
            </w:r>
          </w:p>
        </w:tc>
      </w:tr>
    </w:tbl>
    <w:p>
      <w:pPr>
        <w:pStyle w:val="Heading3"/>
      </w:pPr>
      <w:r>
        <w:rPr>
          <w:rFonts w:ascii="Calibri" w:hAnsi="Calibri"/>
          <w:color w:val="5B4CFF"/>
        </w:rPr>
        <w:t>Key Meeting Angles</w:t>
      </w:r>
    </w:p>
    <w:p>
      <w:pPr>
        <w:pStyle w:val="ListBullet"/>
      </w:pPr>
      <w:r>
        <w:t>IAP fee arbitrage on $29/mo Premium</w:t>
      </w:r>
    </w:p>
    <w:p>
      <w:pPr>
        <w:pStyle w:val="ListBullet"/>
      </w:pPr>
      <w:r>
        <w:t>200 countries, zero local APMs</w:t>
      </w:r>
    </w:p>
    <w:p>
      <w:pPr>
        <w:pStyle w:val="ListBullet"/>
      </w:pPr>
      <w:r>
        <w:t>Apple Design Award = growth catalyst</w:t>
      </w:r>
    </w:p>
    <w:p>
      <w:pPr>
        <w:pStyle w:val="ListBullet"/>
      </w:pPr>
      <w:r>
        <w:t>Single PSP risk with no failover</w:t>
      </w:r>
    </w:p>
    <w:p>
      <w:pPr>
        <w:pStyle w:val="ListBullet"/>
      </w:pPr>
      <w:r>
        <w:t>EU accessibility regulation wave</w:t>
      </w:r>
    </w:p>
    <w:p>
      <w:pPr>
        <w:pStyle w:val="ListBullet"/>
      </w:pPr>
      <w:r>
        <w:t>API product needs enterprise billing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