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SUPABASE | Stripe Sessions Research (SS Database Format)</w:t>
      </w:r>
    </w:p>
    <w:p>
      <w:r>
        <w:rPr>
          <w:i/>
          <w:color w:val="666666"/>
          <w:sz w:val="20"/>
        </w:rPr>
        <w:t>Generated: 2026-04-21</w:t>
      </w:r>
    </w:p>
    <w:p/>
    <w:p>
      <w:pPr>
        <w:spacing w:before="120" w:after="120"/>
      </w:pPr>
    </w:p>
    <w:p>
      <w:pPr>
        <w:spacing w:before="40" w:after="40"/>
      </w:pPr>
      <w:r>
        <w:rPr>
          <w:rFonts w:ascii="Consolas" w:hAnsi="Consolas"/>
          <w:color w:val="006699"/>
          <w:sz w:val="20"/>
        </w:rPr>
        <w:t>═══════════════════════════════════════</w:t>
      </w:r>
    </w:p>
    <w:p>
      <w:pPr>
        <w:pStyle w:val="Heading2"/>
      </w:pPr>
      <w:r>
        <w:t>DATABASE FIELDS: Supabase</w:t>
      </w:r>
    </w:p>
    <w:p>
      <w:pPr>
        <w:spacing w:before="40" w:after="40"/>
      </w:pPr>
      <w:r>
        <w:rPr>
          <w:rFonts w:ascii="Consolas" w:hAnsi="Consolas"/>
          <w:color w:val="006699"/>
          <w:sz w:val="20"/>
        </w:rPr>
        <w:t>═══════════════════════════════════════</w:t>
      </w:r>
    </w:p>
    <w:p>
      <w:pPr>
        <w:spacing w:before="20" w:after="20"/>
      </w:pPr>
      <w:r>
        <w:rPr>
          <w:rFonts w:ascii="Calibri" w:hAnsi="Calibri"/>
          <w:b/>
          <w:sz w:val="22"/>
        </w:rPr>
        <w:t xml:space="preserve">Logo: </w:t>
      </w:r>
      <w:r>
        <w:rPr>
          <w:rFonts w:ascii="Calibri" w:hAnsi="Calibri"/>
          <w:sz w:val="22"/>
        </w:rPr>
        <w:t>https://supabase.com/brand-assets/supabase-logo-wordmark--dark.svg</w:t>
      </w:r>
    </w:p>
    <w:p>
      <w:pPr>
        <w:spacing w:before="20" w:after="20"/>
      </w:pPr>
      <w:r>
        <w:rPr>
          <w:rFonts w:ascii="Calibri" w:hAnsi="Calibri"/>
          <w:b/>
          <w:sz w:val="22"/>
        </w:rPr>
        <w:t xml:space="preserve">Nombre merchant: </w:t>
      </w:r>
      <w:r>
        <w:rPr>
          <w:rFonts w:ascii="Calibri" w:hAnsi="Calibri"/>
          <w:sz w:val="22"/>
        </w:rPr>
        <w:t>Supabase</w:t>
      </w:r>
    </w:p>
    <w:p>
      <w:pPr>
        <w:pStyle w:val="Heading3"/>
      </w:pPr>
      <w:r>
        <w:t>SLIDE 1: PAIN POINTS</w:t>
      </w:r>
    </w:p>
    <w:p>
      <w:pPr>
        <w:spacing w:before="20" w:after="20"/>
      </w:pPr>
      <w:r>
        <w:rPr>
          <w:rFonts w:ascii="Calibri" w:hAnsi="Calibri"/>
          <w:b/>
          <w:sz w:val="22"/>
        </w:rPr>
        <w:t xml:space="preserve">Tittle_Pain Point_1: </w:t>
      </w:r>
      <w:r>
        <w:rPr>
          <w:rFonts w:ascii="Calibri" w:hAnsi="Calibri"/>
          <w:sz w:val="22"/>
        </w:rPr>
        <w:t>Card-Only Limitation</w:t>
      </w:r>
    </w:p>
    <w:p>
      <w:pPr>
        <w:spacing w:before="20" w:after="20"/>
      </w:pPr>
      <w:r>
        <w:rPr>
          <w:rFonts w:ascii="Calibri" w:hAnsi="Calibri"/>
          <w:b/>
          <w:sz w:val="22"/>
        </w:rPr>
        <w:t xml:space="preserve">Tittle_Pain Point_2: </w:t>
      </w:r>
      <w:r>
        <w:rPr>
          <w:rFonts w:ascii="Calibri" w:hAnsi="Calibri"/>
          <w:sz w:val="22"/>
        </w:rPr>
        <w:t>USD-Only Billing</w:t>
      </w:r>
    </w:p>
    <w:p>
      <w:pPr>
        <w:spacing w:before="20" w:after="20"/>
      </w:pPr>
      <w:r>
        <w:rPr>
          <w:rFonts w:ascii="Calibri" w:hAnsi="Calibri"/>
          <w:b/>
          <w:sz w:val="22"/>
        </w:rPr>
        <w:t xml:space="preserve">Tittle_Pain Point_3: </w:t>
      </w:r>
      <w:r>
        <w:rPr>
          <w:rFonts w:ascii="Calibri" w:hAnsi="Calibri"/>
          <w:sz w:val="22"/>
        </w:rPr>
        <w:t>Developer Conversion Gap</w:t>
      </w:r>
    </w:p>
    <w:p>
      <w:pPr>
        <w:spacing w:before="20" w:after="20"/>
      </w:pPr>
      <w:r>
        <w:rPr>
          <w:rFonts w:ascii="Calibri" w:hAnsi="Calibri"/>
          <w:b/>
          <w:sz w:val="22"/>
        </w:rPr>
        <w:t xml:space="preserve">Tittle_Pain Point_4: </w:t>
      </w:r>
      <w:r>
        <w:rPr>
          <w:rFonts w:ascii="Calibri" w:hAnsi="Calibri"/>
          <w:sz w:val="22"/>
        </w:rPr>
        <w:t>Single Acquirer Risk</w:t>
      </w:r>
    </w:p>
    <w:p>
      <w:pPr>
        <w:spacing w:before="20" w:after="20"/>
      </w:pPr>
      <w:r>
        <w:rPr>
          <w:rFonts w:ascii="Calibri" w:hAnsi="Calibri"/>
          <w:b/>
          <w:sz w:val="22"/>
        </w:rPr>
        <w:t xml:space="preserve">Tittle_Pain Point_5: </w:t>
      </w:r>
      <w:r>
        <w:rPr>
          <w:rFonts w:ascii="Calibri" w:hAnsi="Calibri"/>
          <w:sz w:val="22"/>
        </w:rPr>
        <w:t>Tax Rollout Complexity</w:t>
      </w:r>
    </w:p>
    <w:p>
      <w:pPr>
        <w:spacing w:before="40" w:after="40"/>
      </w:pPr>
      <w:r>
        <w:rPr>
          <w:rFonts w:ascii="Calibri" w:hAnsi="Calibri"/>
          <w:b/>
          <w:sz w:val="20"/>
        </w:rPr>
        <w:t xml:space="preserve">Desc_Pain Point_1: </w:t>
      </w:r>
      <w:r>
        <w:rPr>
          <w:rFonts w:ascii="Calibri" w:hAnsi="Calibri"/>
          <w:sz w:val="20"/>
        </w:rPr>
        <w:t>Only 6 card brands accepted. No bank transfers, no wallets, no local APMs. Developers in low card-penetration markets cannot upgrade from Free to Pro.</w:t>
      </w:r>
    </w:p>
    <w:p>
      <w:pPr>
        <w:spacing w:before="40" w:after="40"/>
      </w:pPr>
      <w:r>
        <w:rPr>
          <w:rFonts w:ascii="Calibri" w:hAnsi="Calibri"/>
          <w:b/>
          <w:sz w:val="20"/>
        </w:rPr>
        <w:t xml:space="preserve">Desc_Pain Point_2: </w:t>
      </w:r>
      <w:r>
        <w:rPr>
          <w:rFonts w:ascii="Calibri" w:hAnsi="Calibri"/>
          <w:sz w:val="20"/>
        </w:rPr>
        <w:t>All billing in USD from Singapore entity. 5M+ devs worldwide pay cross-border FX markups on every charge, increasing involuntary churn on $25/mo plans.</w:t>
      </w:r>
    </w:p>
    <w:p>
      <w:pPr>
        <w:spacing w:before="40" w:after="40"/>
      </w:pPr>
      <w:r>
        <w:rPr>
          <w:rFonts w:ascii="Calibri" w:hAnsi="Calibri"/>
          <w:b/>
          <w:sz w:val="20"/>
        </w:rPr>
        <w:t xml:space="preserve">Desc_Pain Point_3: </w:t>
      </w:r>
      <w:r>
        <w:rPr>
          <w:rFonts w:ascii="Calibri" w:hAnsi="Calibri"/>
          <w:sz w:val="20"/>
        </w:rPr>
        <w:t>5M+ developers but Free to Pro jump requires an intl credit card. In India, Brazil, and Southeast Asia, most developers lack such cards.</w:t>
      </w:r>
    </w:p>
    <w:p>
      <w:pPr>
        <w:spacing w:before="40" w:after="40"/>
      </w:pPr>
      <w:r>
        <w:rPr>
          <w:rFonts w:ascii="Calibri" w:hAnsi="Calibri"/>
          <w:b/>
          <w:sz w:val="20"/>
        </w:rPr>
        <w:t xml:space="preserve">Desc_Pain Point_4: </w:t>
      </w:r>
      <w:r>
        <w:rPr>
          <w:rFonts w:ascii="Calibri" w:hAnsi="Calibri"/>
          <w:sz w:val="20"/>
        </w:rPr>
        <w:t>Stripe is the sole processor with no failover. At $70M+ ARR across 150 countries, any degradation blocks Pro upgrades and usage-based overages.</w:t>
      </w:r>
    </w:p>
    <w:p>
      <w:pPr>
        <w:spacing w:before="40" w:after="40"/>
      </w:pPr>
      <w:r>
        <w:rPr>
          <w:rFonts w:ascii="Calibri" w:hAnsi="Calibri"/>
          <w:b/>
          <w:sz w:val="20"/>
        </w:rPr>
        <w:t xml:space="preserve">Desc_Pain Point_5: </w:t>
      </w:r>
      <w:r>
        <w:rPr>
          <w:rFonts w:ascii="Calibri" w:hAnsi="Calibri"/>
          <w:sz w:val="20"/>
        </w:rPr>
        <w:t>Tax collection rollout in May 2026 across international markets adds billing complexity. Tax errors compound with payment failures without backup.</w:t>
      </w:r>
    </w:p>
    <w:p>
      <w:pPr>
        <w:pStyle w:val="Heading3"/>
      </w:pPr>
      <w:r>
        <w:t>SLIDE 1: PSP TOPOLOGY</w:t>
      </w:r>
    </w:p>
    <w:p>
      <w:pPr>
        <w:spacing w:before="20" w:after="20"/>
      </w:pPr>
      <w:r>
        <w:rPr>
          <w:rFonts w:ascii="Calibri" w:hAnsi="Calibri"/>
          <w:b/>
          <w:sz w:val="22"/>
        </w:rPr>
        <w:t xml:space="preserve">PSP_1: </w:t>
      </w:r>
      <w:r>
        <w:rPr>
          <w:rFonts w:ascii="Calibri" w:hAnsi="Calibri"/>
          <w:sz w:val="22"/>
        </w:rPr>
        <w:t>Stripe</w:t>
      </w:r>
    </w:p>
    <w:p>
      <w:pPr>
        <w:spacing w:before="20" w:after="20"/>
      </w:pPr>
      <w:r>
        <w:rPr>
          <w:rFonts w:ascii="Calibri" w:hAnsi="Calibri"/>
          <w:b/>
          <w:sz w:val="22"/>
        </w:rPr>
        <w:t xml:space="preserve">PSP_2: </w:t>
      </w:r>
      <w:r>
        <w:rPr>
          <w:rFonts w:ascii="Calibri" w:hAnsi="Calibri"/>
          <w:sz w:val="22"/>
        </w:rPr>
        <w:t>Stripe Billing (invoicing)</w:t>
      </w:r>
    </w:p>
    <w:p>
      <w:pPr>
        <w:pStyle w:val="Heading3"/>
      </w:pPr>
      <w:r>
        <w:t>SLIDE 1: MISSING LOCAL METHODS (BLIND SPOTS)</w:t>
      </w:r>
    </w:p>
    <w:p>
      <w:pPr>
        <w:spacing w:before="20" w:after="20"/>
      </w:pPr>
      <w:r>
        <w:rPr>
          <w:rFonts w:ascii="Calibri" w:hAnsi="Calibri"/>
          <w:b/>
          <w:sz w:val="22"/>
        </w:rPr>
        <w:t xml:space="preserve">Local_M_1: </w:t>
      </w:r>
      <w:r>
        <w:rPr>
          <w:rFonts w:ascii="Calibri" w:hAnsi="Calibri"/>
          <w:sz w:val="22"/>
        </w:rPr>
        <w:t>UPI</w:t>
      </w:r>
    </w:p>
    <w:p>
      <w:pPr>
        <w:spacing w:before="20" w:after="20"/>
      </w:pPr>
      <w:r>
        <w:rPr>
          <w:rFonts w:ascii="Calibri" w:hAnsi="Calibri"/>
          <w:b/>
          <w:sz w:val="22"/>
        </w:rPr>
        <w:t xml:space="preserve">Local_M_2: </w:t>
      </w:r>
      <w:r>
        <w:rPr>
          <w:rFonts w:ascii="Calibri" w:hAnsi="Calibri"/>
          <w:sz w:val="22"/>
        </w:rPr>
        <w:t>Pix</w:t>
      </w:r>
    </w:p>
    <w:p>
      <w:pPr>
        <w:spacing w:before="20" w:after="20"/>
      </w:pPr>
      <w:r>
        <w:rPr>
          <w:rFonts w:ascii="Calibri" w:hAnsi="Calibri"/>
          <w:b/>
          <w:sz w:val="22"/>
        </w:rPr>
        <w:t xml:space="preserve">Local_M_3: </w:t>
      </w:r>
      <w:r>
        <w:rPr>
          <w:rFonts w:ascii="Calibri" w:hAnsi="Calibri"/>
          <w:sz w:val="22"/>
        </w:rPr>
        <w:t>SEPA Direct Debit</w:t>
      </w:r>
    </w:p>
    <w:p>
      <w:pPr>
        <w:spacing w:before="20" w:after="20"/>
      </w:pPr>
      <w:r>
        <w:rPr>
          <w:rFonts w:ascii="Calibri" w:hAnsi="Calibri"/>
          <w:b/>
          <w:sz w:val="22"/>
        </w:rPr>
        <w:t xml:space="preserve">Local_M_4: </w:t>
      </w:r>
      <w:r>
        <w:rPr>
          <w:rFonts w:ascii="Calibri" w:hAnsi="Calibri"/>
          <w:sz w:val="22"/>
        </w:rPr>
        <w:t>BLIK</w:t>
      </w:r>
    </w:p>
    <w:p>
      <w:pPr>
        <w:spacing w:before="20" w:after="20"/>
      </w:pPr>
      <w:r>
        <w:rPr>
          <w:rFonts w:ascii="Calibri" w:hAnsi="Calibri"/>
          <w:b/>
          <w:sz w:val="22"/>
        </w:rPr>
        <w:t xml:space="preserve">Local_M_5: </w:t>
      </w:r>
      <w:r>
        <w:rPr>
          <w:rFonts w:ascii="Calibri" w:hAnsi="Calibri"/>
          <w:sz w:val="22"/>
        </w:rPr>
        <w:t>GoPay</w:t>
      </w:r>
    </w:p>
    <w:p>
      <w:pPr>
        <w:spacing w:before="20" w:after="20"/>
      </w:pPr>
      <w:r>
        <w:rPr>
          <w:rFonts w:ascii="Calibri" w:hAnsi="Calibri"/>
          <w:b/>
          <w:sz w:val="22"/>
        </w:rPr>
        <w:t xml:space="preserve">Local_M_6: </w:t>
      </w:r>
      <w:r>
        <w:rPr>
          <w:rFonts w:ascii="Calibri" w:hAnsi="Calibri"/>
          <w:sz w:val="22"/>
        </w:rPr>
        <w:t>GCash</w:t>
      </w:r>
    </w:p>
    <w:p>
      <w:pPr>
        <w:spacing w:before="20" w:after="20"/>
      </w:pPr>
      <w:r>
        <w:rPr>
          <w:rFonts w:ascii="Calibri" w:hAnsi="Calibri"/>
          <w:b/>
          <w:sz w:val="22"/>
        </w:rPr>
        <w:t xml:space="preserve">Local_M_7: </w:t>
      </w:r>
      <w:r>
        <w:rPr>
          <w:rFonts w:ascii="Calibri" w:hAnsi="Calibri"/>
          <w:sz w:val="22"/>
        </w:rPr>
        <w:t>iDEAL</w:t>
      </w:r>
    </w:p>
    <w:p>
      <w:pPr>
        <w:spacing w:before="20" w:after="20"/>
      </w:pPr>
      <w:r>
        <w:rPr>
          <w:rFonts w:ascii="Calibri" w:hAnsi="Calibri"/>
          <w:b/>
          <w:sz w:val="22"/>
        </w:rPr>
        <w:t xml:space="preserve">Local_M_8: </w:t>
      </w:r>
      <w:r>
        <w:rPr>
          <w:rFonts w:ascii="Calibri" w:hAnsi="Calibri"/>
          <w:sz w:val="22"/>
        </w:rPr>
        <w:t>Boleto</w:t>
      </w:r>
    </w:p>
    <w:p>
      <w:pPr>
        <w:spacing w:before="20" w:after="20"/>
      </w:pPr>
      <w:r>
        <w:rPr>
          <w:rFonts w:ascii="Calibri" w:hAnsi="Calibri"/>
          <w:b/>
          <w:sz w:val="22"/>
        </w:rPr>
        <w:t xml:space="preserve">Local_M_9: </w:t>
      </w:r>
      <w:r>
        <w:rPr>
          <w:rFonts w:ascii="Calibri" w:hAnsi="Calibri"/>
          <w:sz w:val="22"/>
        </w:rPr>
        <w:t>OXXO</w:t>
      </w:r>
    </w:p>
    <w:p>
      <w:pPr>
        <w:spacing w:before="20" w:after="20"/>
      </w:pPr>
      <w:r>
        <w:rPr>
          <w:rFonts w:ascii="Calibri" w:hAnsi="Calibri"/>
          <w:b/>
          <w:sz w:val="22"/>
        </w:rPr>
        <w:t xml:space="preserve">Local_M_10: </w:t>
      </w:r>
      <w:r>
        <w:rPr>
          <w:rFonts w:ascii="Calibri" w:hAnsi="Calibri"/>
          <w:sz w:val="22"/>
        </w:rPr>
        <w:t>Konbini</w:t>
      </w:r>
    </w:p>
    <w:p>
      <w:pPr>
        <w:pStyle w:val="Heading3"/>
      </w:pPr>
      <w:r>
        <w:t>SLIDE 2: YUNO CAPABILITIES</w:t>
      </w:r>
    </w:p>
    <w:p>
      <w:pPr>
        <w:spacing w:before="20" w:after="20"/>
      </w:pPr>
      <w:r>
        <w:rPr>
          <w:rFonts w:ascii="Calibri" w:hAnsi="Calibri"/>
          <w:b/>
          <w:sz w:val="22"/>
        </w:rPr>
        <w:t xml:space="preserve">Tittle_Yuno_Cap1: </w:t>
      </w:r>
      <w:r>
        <w:rPr>
          <w:rFonts w:ascii="Calibri" w:hAnsi="Calibri"/>
          <w:sz w:val="22"/>
        </w:rPr>
        <w:t>Smart Routing</w:t>
      </w:r>
    </w:p>
    <w:p>
      <w:pPr>
        <w:spacing w:before="20" w:after="20"/>
      </w:pPr>
      <w:r>
        <w:rPr>
          <w:rFonts w:ascii="Calibri" w:hAnsi="Calibri"/>
          <w:b/>
          <w:sz w:val="22"/>
        </w:rPr>
        <w:t xml:space="preserve">Tittle_Yuno_Cap2: </w:t>
      </w:r>
      <w:r>
        <w:rPr>
          <w:rFonts w:ascii="Calibri" w:hAnsi="Calibri"/>
          <w:sz w:val="22"/>
        </w:rPr>
        <w:t>Failover &amp; Retries</w:t>
      </w:r>
    </w:p>
    <w:p>
      <w:pPr>
        <w:spacing w:before="20" w:after="20"/>
      </w:pPr>
      <w:r>
        <w:rPr>
          <w:rFonts w:ascii="Calibri" w:hAnsi="Calibri"/>
          <w:b/>
          <w:sz w:val="22"/>
        </w:rPr>
        <w:t xml:space="preserve">Tittle_Yuno_Cap3: </w:t>
      </w:r>
      <w:r>
        <w:rPr>
          <w:rFonts w:ascii="Calibri" w:hAnsi="Calibri"/>
          <w:sz w:val="22"/>
        </w:rPr>
        <w:t>Local Payment Methods</w:t>
      </w:r>
    </w:p>
    <w:p>
      <w:pPr>
        <w:spacing w:before="20" w:after="20"/>
      </w:pPr>
      <w:r>
        <w:rPr>
          <w:rFonts w:ascii="Calibri" w:hAnsi="Calibri"/>
          <w:b/>
          <w:sz w:val="22"/>
        </w:rPr>
        <w:t xml:space="preserve">Tittle_Yuno_Cap4: </w:t>
      </w:r>
      <w:r>
        <w:rPr>
          <w:rFonts w:ascii="Calibri" w:hAnsi="Calibri"/>
          <w:sz w:val="22"/>
        </w:rPr>
        <w:t>Unified Orchestration</w:t>
      </w:r>
    </w:p>
    <w:p>
      <w:pPr>
        <w:spacing w:before="40" w:after="40"/>
      </w:pPr>
      <w:r>
        <w:rPr>
          <w:rFonts w:ascii="Calibri" w:hAnsi="Calibri"/>
          <w:b/>
          <w:sz w:val="20"/>
        </w:rPr>
        <w:t xml:space="preserve">Desc_Yuno_Cap1: </w:t>
      </w:r>
      <w:r>
        <w:rPr>
          <w:rFonts w:ascii="Calibri" w:hAnsi="Calibri"/>
          <w:sz w:val="20"/>
        </w:rPr>
        <w:t>Route each Pro plan subscription and usage-based overage to the optimal acquirer for that card BIN and market. At $70M+ ARR growing 250% YoY, a 3% auth uplift recovers $2.1M+ annually. Smart Routing maximizes conversion on every recurring charge.</w:t>
      </w:r>
    </w:p>
    <w:p>
      <w:pPr>
        <w:spacing w:before="40" w:after="40"/>
      </w:pPr>
      <w:r>
        <w:rPr>
          <w:rFonts w:ascii="Calibri" w:hAnsi="Calibri"/>
          <w:b/>
          <w:sz w:val="20"/>
        </w:rPr>
        <w:t xml:space="preserve">Desc_Yuno_Cap2: </w:t>
      </w:r>
      <w:r>
        <w:rPr>
          <w:rFonts w:ascii="Calibri" w:hAnsi="Calibri"/>
          <w:sz w:val="20"/>
        </w:rPr>
        <w:t>Automatic cascade when Stripe declines a subscription renewal or overage charge. Yuno reroutes to the next best processor in milliseconds. For a developer running production databases, a failed payment means potential service disruption. Up to 50% recovery rate.</w:t>
      </w:r>
    </w:p>
    <w:p>
      <w:pPr>
        <w:spacing w:before="40" w:after="40"/>
      </w:pPr>
      <w:r>
        <w:rPr>
          <w:rFonts w:ascii="Calibri" w:hAnsi="Calibri"/>
          <w:b/>
          <w:sz w:val="20"/>
        </w:rPr>
        <w:t xml:space="preserve">Desc_Yuno_Cap3: </w:t>
      </w:r>
      <w:r>
        <w:rPr>
          <w:rFonts w:ascii="Calibri" w:hAnsi="Calibri"/>
          <w:sz w:val="20"/>
        </w:rPr>
        <w:t>Opens the door for 5M+ developers worldwide: UPI in India, Pix in Brazil, SEPA DD across Europe, BLIK in Poland, GoPay in Indonesia, iDEAL in Netherlands, OXXO in Mexico. One API, 1,000+ methods. Convert free-tier developers into paying customers.</w:t>
      </w:r>
    </w:p>
    <w:p>
      <w:pPr>
        <w:spacing w:before="40" w:after="40"/>
      </w:pPr>
      <w:r>
        <w:rPr>
          <w:rFonts w:ascii="Calibri" w:hAnsi="Calibri"/>
          <w:b/>
          <w:sz w:val="20"/>
        </w:rPr>
        <w:t xml:space="preserve">Desc_Yuno_Cap4: </w:t>
      </w:r>
      <w:r>
        <w:rPr>
          <w:rFonts w:ascii="Calibri" w:hAnsi="Calibri"/>
          <w:sz w:val="20"/>
        </w:rPr>
        <w:t>One dashboard consolidating all payment flows: subscriptions, usage-based overages, and the upcoming international tax rollout. Real-time approval monitoring across 150 countries, centralized reconciliation, and instant anomaly detection.</w:t>
      </w:r>
    </w:p>
    <w:p/>
    <w:p/>
    <w:p/>
    <w:p>
      <w:pPr>
        <w:pStyle w:val="Heading2"/>
      </w:pPr>
      <w:r>
        <w:t>RESEARCH BACKING | Key Facts for the Meeting</w:t>
      </w:r>
    </w:p>
    <w:p/>
    <w:p>
      <w:r>
        <w:rPr>
          <w:b/>
          <w:sz w:val="22"/>
        </w:rPr>
        <w:t>Supabase at a glance:</w:t>
      </w:r>
    </w:p>
    <w:p>
      <w:pPr>
        <w:pStyle w:val="ListBullet"/>
      </w:pPr>
      <w:r>
        <w:rPr>
          <w:sz w:val="20"/>
        </w:rPr>
        <w:t>5M+ developers, 11.2M total databases created, 100,000+ API calls per second</w:t>
      </w:r>
    </w:p>
    <w:p>
      <w:pPr>
        <w:pStyle w:val="ListBullet"/>
      </w:pPr>
      <w:r>
        <w:rPr>
          <w:sz w:val="20"/>
        </w:rPr>
        <w:t>Revenue: $70M ARR (2025), up 250% YoY from $30M (end 2024)</w:t>
      </w:r>
    </w:p>
    <w:p>
      <w:pPr>
        <w:pStyle w:val="ListBullet"/>
      </w:pPr>
      <w:r>
        <w:rPr>
          <w:sz w:val="20"/>
        </w:rPr>
        <w:t>Valuation: $5B (Series E, October 2025, $100M raised). Seeking $10B in next round (April 2026)</w:t>
      </w:r>
    </w:p>
    <w:p>
      <w:pPr>
        <w:pStyle w:val="ListBullet"/>
      </w:pPr>
      <w:r>
        <w:rPr>
          <w:sz w:val="20"/>
        </w:rPr>
        <w:t>Total funding: $500M+ since 2020 founding</w:t>
      </w:r>
    </w:p>
    <w:p>
      <w:pPr>
        <w:pStyle w:val="ListBullet"/>
      </w:pPr>
      <w:r>
        <w:rPr>
          <w:sz w:val="20"/>
        </w:rPr>
        <w:t>Open-source Firebase alternative: Postgres database, auth, storage, edge functions, realtime</w:t>
      </w:r>
    </w:p>
    <w:p>
      <w:pPr>
        <w:pStyle w:val="ListBullet"/>
      </w:pPr>
      <w:r>
        <w:rPr>
          <w:sz w:val="20"/>
        </w:rPr>
        <w:t>Pricing: Free (50K MAUs), Pro ($25/mo), Team ($599/mo)</w:t>
      </w:r>
    </w:p>
    <w:p>
      <w:pPr>
        <w:pStyle w:val="ListBullet"/>
      </w:pPr>
      <w:r>
        <w:rPr>
          <w:sz w:val="20"/>
        </w:rPr>
        <w:t>Partnership with AWS (December 2025) for developer infrastructure</w:t>
      </w:r>
    </w:p>
    <w:p>
      <w:pPr>
        <w:pStyle w:val="ListBullet"/>
      </w:pPr>
      <w:r>
        <w:rPr>
          <w:sz w:val="20"/>
        </w:rPr>
        <w:t>Billing entity in Singapore. Tax rollout May-June 2026</w:t>
      </w:r>
    </w:p>
    <w:p>
      <w:pPr>
        <w:pStyle w:val="ListBullet"/>
      </w:pPr>
      <w:r>
        <w:rPr>
          <w:sz w:val="20"/>
        </w:rPr>
        <w:t>HQ: San Francisco. ~230 employees (2025)</w:t>
      </w:r>
    </w:p>
    <w:p>
      <w:pPr>
        <w:pStyle w:val="ListBullet"/>
      </w:pPr>
      <w:r>
        <w:rPr>
          <w:sz w:val="20"/>
        </w:rPr>
        <w:t>Payment methods: Visa, MC, Amex, JCB, CUP, Cartes Bancaires only</w:t>
      </w:r>
    </w:p>
    <w:p/>
    <w:p>
      <w:r>
        <w:rPr>
          <w:b/>
          <w:sz w:val="22"/>
        </w:rPr>
        <w:t>Confirmed PSPs:</w:t>
      </w:r>
    </w:p>
    <w:p>
      <w:pPr>
        <w:pStyle w:val="ListBullet"/>
      </w:pPr>
      <w:r>
        <w:rPr>
          <w:sz w:val="20"/>
        </w:rPr>
        <w:t>Stripe: sole payment processor (confirmed in privacy policy and Stripe case study)</w:t>
      </w:r>
    </w:p>
    <w:p>
      <w:pPr>
        <w:pStyle w:val="ListBullet"/>
      </w:pPr>
      <w:r>
        <w:rPr>
          <w:sz w:val="20"/>
        </w:rPr>
        <w:t>Stripe Billing: handles subscription invoicing and usage-based charges</w:t>
      </w:r>
    </w:p>
    <w:p>
      <w:pPr>
        <w:pStyle w:val="ListBullet"/>
      </w:pPr>
      <w:r>
        <w:rPr>
          <w:sz w:val="20"/>
        </w:rPr>
        <w:t>Open-source stripe-sync-engine for data synchronization</w:t>
      </w:r>
    </w:p>
    <w:p>
      <w:pPr>
        <w:pStyle w:val="ListBullet"/>
      </w:pPr>
      <w:r>
        <w:rPr>
          <w:sz w:val="20"/>
        </w:rPr>
        <w:t>No secondary processor or payment orchestrator detected</w:t>
      </w:r>
    </w:p>
    <w:p>
      <w:pPr>
        <w:pStyle w:val="ListBullet"/>
      </w:pPr>
      <w:r>
        <w:rPr>
          <w:sz w:val="20"/>
        </w:rPr>
        <w:t>Card-only acceptance; no bank transfers, no wallets, no local APMs</w:t>
      </w:r>
    </w:p>
    <w:p/>
    <w:p>
      <w:r>
        <w:rPr>
          <w:b/>
          <w:sz w:val="22"/>
        </w:rPr>
        <w:t>Top 5 Markets Gap Analysis:</w:t>
      </w:r>
    </w:p>
    <w:p/>
    <w:p>
      <w:pPr>
        <w:spacing w:before="160"/>
      </w:pPr>
      <w:r>
        <w:rPr>
          <w:b/>
          <w:color w:val="004488"/>
          <w:sz w:val="22"/>
        </w:rPr>
        <w:t>MARKET 1: United States (largest developer market)</w:t>
      </w:r>
    </w:p>
    <w:p>
      <w:r>
        <w:rPr>
          <w:sz w:val="20"/>
        </w:rPr>
        <w:t>Accepted: Visa/MC/Amex (USD)</w:t>
      </w:r>
    </w:p>
    <w:p>
      <w:r>
        <w:rPr>
          <w:sz w:val="20"/>
        </w:rPr>
        <w:t>Missing: ACH for subscriptions</w:t>
      </w:r>
    </w:p>
    <w:p>
      <w:r>
        <w:rPr>
          <w:sz w:val="20"/>
        </w:rPr>
        <w:t>Note: Primary revenue market. Card payments work well but ACH would reduce interchange costs.</w:t>
      </w:r>
    </w:p>
    <w:p/>
    <w:p>
      <w:pPr>
        <w:spacing w:before="160"/>
      </w:pPr>
      <w:r>
        <w:rPr>
          <w:b/>
          <w:color w:val="004488"/>
          <w:sz w:val="22"/>
        </w:rPr>
        <w:t>MARKET 2: India (fast-growing developer hub)</w:t>
      </w:r>
    </w:p>
    <w:p>
      <w:r>
        <w:rPr>
          <w:sz w:val="20"/>
        </w:rPr>
        <w:t>Accepted: Visa/MC (international USD)</w:t>
      </w:r>
    </w:p>
    <w:p>
      <w:r>
        <w:rPr>
          <w:sz w:val="20"/>
        </w:rPr>
        <w:t>Missing: UPI, RuPay, NetBanking</w:t>
      </w:r>
    </w:p>
    <w:p>
      <w:r>
        <w:rPr>
          <w:sz w:val="20"/>
        </w:rPr>
        <w:t>Note: India's developer community is one of the fastest growing. Most Indian developers lack international credit cards. UPI is essential.</w:t>
      </w:r>
    </w:p>
    <w:p/>
    <w:p>
      <w:pPr>
        <w:spacing w:before="160"/>
      </w:pPr>
      <w:r>
        <w:rPr>
          <w:b/>
          <w:color w:val="004488"/>
          <w:sz w:val="22"/>
        </w:rPr>
        <w:t>MARKET 3: Europe (Frankfurt, London regions)</w:t>
      </w:r>
    </w:p>
    <w:p>
      <w:r>
        <w:rPr>
          <w:sz w:val="20"/>
        </w:rPr>
        <w:t>Accepted: Visa/MC/Amex, Cartes Bancaires (France)</w:t>
      </w:r>
    </w:p>
    <w:p>
      <w:r>
        <w:rPr>
          <w:sz w:val="20"/>
        </w:rPr>
        <w:t>Missing: SEPA Direct Debit, iDEAL, BLIK, Sofort, Bancontact</w:t>
      </w:r>
    </w:p>
    <w:p>
      <w:r>
        <w:rPr>
          <w:sz w:val="20"/>
        </w:rPr>
        <w:t>Note: GDPR compliance makes EU a key market. SEPA DD is standard for European SaaS subscriptions.</w:t>
      </w:r>
    </w:p>
    <w:p/>
    <w:p>
      <w:pPr>
        <w:spacing w:before="160"/>
      </w:pPr>
      <w:r>
        <w:rPr>
          <w:b/>
          <w:color w:val="004488"/>
          <w:sz w:val="22"/>
        </w:rPr>
        <w:t>MARKET 4: Southeast Asia (Singapore billing entity, strong presence)</w:t>
      </w:r>
    </w:p>
    <w:p>
      <w:r>
        <w:rPr>
          <w:sz w:val="20"/>
        </w:rPr>
        <w:t>Accepted: Visa/MC</w:t>
      </w:r>
    </w:p>
    <w:p>
      <w:r>
        <w:rPr>
          <w:sz w:val="20"/>
        </w:rPr>
        <w:t>Missing: GoPay, OVO, GCash, GrabPay, DANA</w:t>
      </w:r>
    </w:p>
    <w:p>
      <w:r>
        <w:rPr>
          <w:sz w:val="20"/>
        </w:rPr>
        <w:t>Note: Singapore is Supabase's billing entity. SEA developers face low card penetration (5-15%).</w:t>
      </w:r>
    </w:p>
    <w:p/>
    <w:p>
      <w:pPr>
        <w:spacing w:before="160"/>
      </w:pPr>
      <w:r>
        <w:rPr>
          <w:b/>
          <w:color w:val="004488"/>
          <w:sz w:val="22"/>
        </w:rPr>
        <w:t>MARKET 5: Brazil/LATAM (growing developer market)</w:t>
      </w:r>
    </w:p>
    <w:p>
      <w:r>
        <w:rPr>
          <w:sz w:val="20"/>
        </w:rPr>
        <w:t>Accepted: Visa/MC (USD)</w:t>
      </w:r>
    </w:p>
    <w:p>
      <w:r>
        <w:rPr>
          <w:sz w:val="20"/>
        </w:rPr>
        <w:t>Missing: Pix, Boleto, OXXO, PSE</w:t>
      </w:r>
    </w:p>
    <w:p>
      <w:r>
        <w:rPr>
          <w:sz w:val="20"/>
        </w:rPr>
        <w:t>Note: Pix handles 70%+ of Brazilian digital payments. Zero local options for LATAM developers.</w:t>
      </w:r>
    </w:p>
    <w:p/>
    <w:p>
      <w:r>
        <w:rPr>
          <w:b/>
          <w:sz w:val="22"/>
        </w:rPr>
        <w:t>Key meeting angles:</w:t>
      </w:r>
    </w:p>
    <w:p>
      <w:r>
        <w:rPr>
          <w:sz w:val="20"/>
        </w:rPr>
        <w:t xml:space="preserve">1. </w:t>
      </w:r>
      <w:r>
        <w:rPr>
          <w:b/>
          <w:sz w:val="20"/>
        </w:rPr>
        <w:t>$10B valuation pursuit</w:t>
      </w:r>
      <w:r>
        <w:rPr>
          <w:sz w:val="20"/>
        </w:rPr>
        <w:t xml:space="preserve"> | Payment infrastructure maturity matters to investors at this scale</w:t>
      </w:r>
    </w:p>
    <w:p>
      <w:r>
        <w:rPr>
          <w:sz w:val="20"/>
        </w:rPr>
        <w:t xml:space="preserve">2. </w:t>
      </w:r>
      <w:r>
        <w:rPr>
          <w:b/>
          <w:sz w:val="20"/>
        </w:rPr>
        <w:t>Card-only is the bottleneck</w:t>
      </w:r>
      <w:r>
        <w:rPr>
          <w:sz w:val="20"/>
        </w:rPr>
        <w:t xml:space="preserve"> | 5M developers but only 6 card brands accepted. No wallets, no bank transfers, no local APMs.</w:t>
      </w:r>
    </w:p>
    <w:p>
      <w:r>
        <w:rPr>
          <w:sz w:val="20"/>
        </w:rPr>
        <w:t xml:space="preserve">3. </w:t>
      </w:r>
      <w:r>
        <w:rPr>
          <w:b/>
          <w:sz w:val="20"/>
        </w:rPr>
        <w:t>Free to Pro conversion</w:t>
      </w:r>
      <w:r>
        <w:rPr>
          <w:sz w:val="20"/>
        </w:rPr>
        <w:t xml:space="preserve"> | The $25/mo Pro plan requires a card most global developers lack. Local APMs directly increase conversion.</w:t>
      </w:r>
    </w:p>
    <w:p>
      <w:r>
        <w:rPr>
          <w:sz w:val="20"/>
        </w:rPr>
        <w:t xml:space="preserve">4. </w:t>
      </w:r>
      <w:r>
        <w:rPr>
          <w:b/>
          <w:sz w:val="20"/>
        </w:rPr>
        <w:t>250% YoY growth</w:t>
      </w:r>
      <w:r>
        <w:rPr>
          <w:sz w:val="20"/>
        </w:rPr>
        <w:t xml:space="preserve"> | Payment failures scale with growth. Smart routing and failover become critical at $70M+ ARR.</w:t>
      </w:r>
    </w:p>
    <w:p>
      <w:r>
        <w:rPr>
          <w:sz w:val="20"/>
        </w:rPr>
        <w:t xml:space="preserve">5. </w:t>
      </w:r>
      <w:r>
        <w:rPr>
          <w:b/>
          <w:sz w:val="20"/>
        </w:rPr>
        <w:t>Tax rollout May 2026</w:t>
      </w:r>
      <w:r>
        <w:rPr>
          <w:sz w:val="20"/>
        </w:rPr>
        <w:t xml:space="preserve"> | Adding international tax collection increases billing complexity. Multi-processor support reduces risk.</w:t>
      </w:r>
    </w:p>
    <w:p>
      <w:r>
        <w:rPr>
          <w:sz w:val="20"/>
        </w:rPr>
        <w:t xml:space="preserve">6. </w:t>
      </w:r>
      <w:r>
        <w:rPr>
          <w:b/>
          <w:sz w:val="20"/>
        </w:rPr>
        <w:t>AWS partnership</w:t>
      </w:r>
      <w:r>
        <w:rPr>
          <w:sz w:val="20"/>
        </w:rPr>
        <w:t xml:space="preserve"> | December 2025 AWS partnership expands global reach. Payment methods should match infrastructure footprint.</w:t>
      </w:r>
    </w:p>
    <w:p>
      <w:r>
        <w:rPr>
          <w:sz w:val="20"/>
        </w:rPr>
        <w:t xml:space="preserve">7. </w:t>
      </w:r>
      <w:r>
        <w:rPr>
          <w:b/>
          <w:sz w:val="20"/>
        </w:rPr>
        <w:t>Open-source DNA</w:t>
      </w:r>
      <w:r>
        <w:rPr>
          <w:sz w:val="20"/>
        </w:rPr>
        <w:t xml:space="preserve"> | Supabase built an open-source stripe-sync-engine, showing they value payment data transparency.</w:t>
      </w:r>
    </w:p>
    <w:p/>
    <w:p>
      <w:r>
        <w:rPr>
          <w:b/>
          <w:sz w:val="22"/>
        </w:rPr>
        <w:t>Sources:</w:t>
      </w:r>
    </w:p>
    <w:p>
      <w:pPr>
        <w:pStyle w:val="ListBullet"/>
      </w:pPr>
      <w:r>
        <w:rPr>
          <w:color w:val="0055AA"/>
          <w:sz w:val="18"/>
        </w:rPr>
        <w:t>Supabase Privacy Policy: https://supabase.com/privacy</w:t>
      </w:r>
    </w:p>
    <w:p>
      <w:pPr>
        <w:pStyle w:val="ListBullet"/>
      </w:pPr>
      <w:r>
        <w:rPr>
          <w:color w:val="0055AA"/>
          <w:sz w:val="18"/>
        </w:rPr>
        <w:t>Supabase Pricing: https://supabase.com/pricing</w:t>
      </w:r>
    </w:p>
    <w:p>
      <w:pPr>
        <w:pStyle w:val="ListBullet"/>
      </w:pPr>
      <w:r>
        <w:rPr>
          <w:color w:val="0055AA"/>
          <w:sz w:val="18"/>
        </w:rPr>
        <w:t>Supabase Billing FAQ: https://supabase.com/docs/guides/platform/billing-faq</w:t>
      </w:r>
    </w:p>
    <w:p>
      <w:pPr>
        <w:pStyle w:val="ListBullet"/>
      </w:pPr>
      <w:r>
        <w:rPr>
          <w:color w:val="0055AA"/>
          <w:sz w:val="18"/>
        </w:rPr>
        <w:t>Supabase Brand Assets: https://supabase.com/brand-assets</w:t>
      </w:r>
    </w:p>
    <w:p>
      <w:pPr>
        <w:pStyle w:val="ListBullet"/>
      </w:pPr>
      <w:r>
        <w:rPr>
          <w:color w:val="0055AA"/>
          <w:sz w:val="18"/>
        </w:rPr>
        <w:t>Stripe Customer Story: Supabase: https://stripe.com/customers/supabase</w:t>
      </w:r>
    </w:p>
    <w:p>
      <w:pPr>
        <w:pStyle w:val="ListBullet"/>
      </w:pPr>
      <w:r>
        <w:rPr>
          <w:color w:val="0055AA"/>
          <w:sz w:val="18"/>
        </w:rPr>
        <w:t>Supabase Stripe Sync Engine: https://supabase.com/blog/stripe-sync-engine-integration</w:t>
      </w:r>
    </w:p>
    <w:p>
      <w:pPr>
        <w:pStyle w:val="ListBullet"/>
      </w:pPr>
      <w:r>
        <w:rPr>
          <w:color w:val="0055AA"/>
          <w:sz w:val="18"/>
        </w:rPr>
        <w:t>TechCrunch: Supabase $5B Valuation: https://techcrunch.com/2025/10/03/supabase-nabs-5b-valuation-four-months-after-hitting-2b/</w:t>
      </w:r>
    </w:p>
    <w:p>
      <w:pPr>
        <w:pStyle w:val="ListBullet"/>
      </w:pPr>
      <w:r>
        <w:rPr>
          <w:color w:val="0055AA"/>
          <w:sz w:val="18"/>
        </w:rPr>
        <w:t>Fortune: Supabase $100M at $5B: https://fortune.com/2025/10/03/exclusive-supabase-raises-100-million-at-5-billion-valuation-as-vibe-coding-soars/</w:t>
      </w:r>
    </w:p>
    <w:p>
      <w:pPr>
        <w:pStyle w:val="ListBullet"/>
      </w:pPr>
      <w:r>
        <w:rPr>
          <w:color w:val="0055AA"/>
          <w:sz w:val="18"/>
        </w:rPr>
        <w:t>Sacra: Supabase Revenue &amp; Valuation: https://sacra.com/c/supabase/</w:t>
      </w:r>
    </w:p>
    <w:p>
      <w:pPr>
        <w:pStyle w:val="ListBullet"/>
      </w:pPr>
      <w:r>
        <w:rPr>
          <w:color w:val="0055AA"/>
          <w:sz w:val="18"/>
        </w:rPr>
        <w:t>GetLatka: Supabase Revenue: https://getlatka.com/companies/supabase.com</w:t>
      </w:r>
    </w:p>
    <w:p>
      <w:pPr>
        <w:pStyle w:val="ListBullet"/>
      </w:pPr>
      <w:r>
        <w:rPr>
          <w:color w:val="0055AA"/>
          <w:sz w:val="18"/>
        </w:rPr>
        <w:t>TapTwice: Supabase Statistics: https://taptwicedigital.com/stats/supabase</w:t>
      </w:r>
    </w:p>
    <w:p>
      <w:pPr>
        <w:pStyle w:val="ListBullet"/>
      </w:pPr>
      <w:r>
        <w:rPr>
          <w:color w:val="0055AA"/>
          <w:sz w:val="18"/>
        </w:rPr>
        <w:t>AWS: Supabase Partnership: https://press.aboutamazon.com/2025/12/supabase-and-aws-empower-app-developers-to-build-in-a-weekend-scale-to-millions</w:t>
      </w:r>
    </w:p>
    <w:p>
      <w:pPr>
        <w:pStyle w:val="ListBullet"/>
      </w:pPr>
      <w:r>
        <w:rPr>
          <w:color w:val="0055AA"/>
          <w:sz w:val="18"/>
        </w:rPr>
        <w:t>Supabase Available Regions: https://supabase.com/docs/guides/platform/regions</w:t>
      </w:r>
    </w:p>
    <w:p>
      <w:pPr>
        <w:pStyle w:val="ListBullet"/>
      </w:pPr>
      <w:r>
        <w:rPr>
          <w:color w:val="0055AA"/>
          <w:sz w:val="18"/>
        </w:rPr>
        <w:t>Pulumi: Supabase Case Study: https://www.pulumi.com/case-studies/supabase/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