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VYOND | Stripe Sessions Research (SS Database Format)</w:t>
      </w:r>
    </w:p>
    <w:p>
      <w:r>
        <w:rPr>
          <w:i/>
        </w:rPr>
        <w:t>Generated: 2026-04-21</w:t>
      </w:r>
    </w:p>
    <w:p>
      <w:r>
        <w:rPr>
          <w:rFonts w:ascii="Courier New" w:hAnsi="Courier New"/>
          <w:sz w:val="18"/>
        </w:rPr>
        <w:t>=======================================</w:t>
      </w:r>
    </w:p>
    <w:p>
      <w:r>
        <w:rPr>
          <w:rFonts w:ascii="Courier New" w:hAnsi="Courier New"/>
          <w:sz w:val="18"/>
        </w:rPr>
        <w:t>DATABASE FIELDS: Vyond</w:t>
      </w:r>
    </w:p>
    <w:p>
      <w:r>
        <w:rPr>
          <w:rFonts w:ascii="Courier New" w:hAnsi="Courier New"/>
          <w:sz w:val="18"/>
        </w:rPr>
        <w:t>=======================================</w:t>
      </w:r>
    </w:p>
    <w:p>
      <w:r>
        <w:rPr>
          <w:rFonts w:ascii="Courier New" w:hAnsi="Courier New"/>
          <w:sz w:val="18"/>
        </w:rPr>
      </w:r>
    </w:p>
    <w:p>
      <w:r>
        <w:rPr>
          <w:rFonts w:ascii="Courier New" w:hAnsi="Courier New"/>
          <w:sz w:val="18"/>
        </w:rPr>
        <w:t>Logo: https://cdn.brandfetch.io/vyond.com/w/512/h/512/logo</w:t>
      </w:r>
    </w:p>
    <w:p>
      <w:r>
        <w:rPr>
          <w:rFonts w:ascii="Courier New" w:hAnsi="Courier New"/>
          <w:sz w:val="18"/>
        </w:rPr>
        <w:t>Nombre merchant: Vyond</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USD-Only Global Billing</w:t>
      </w:r>
    </w:p>
    <w:p>
      <w:r>
        <w:rPr>
          <w:rFonts w:ascii="Courier New" w:hAnsi="Courier New"/>
          <w:sz w:val="18"/>
        </w:rPr>
        <w:t>Tittle_Pain Point_2: No Failover on Renewals</w:t>
      </w:r>
    </w:p>
    <w:p>
      <w:r>
        <w:rPr>
          <w:rFonts w:ascii="Courier New" w:hAnsi="Courier New"/>
          <w:sz w:val="18"/>
        </w:rPr>
        <w:t>Tittle_Pain Point_3: Zero Local APMs</w:t>
      </w:r>
    </w:p>
    <w:p>
      <w:r>
        <w:rPr>
          <w:rFonts w:ascii="Courier New" w:hAnsi="Courier New"/>
          <w:sz w:val="18"/>
        </w:rPr>
        <w:t>Tittle_Pain Point_4: Enterprise Seat Churn</w:t>
      </w:r>
    </w:p>
    <w:p>
      <w:r>
        <w:rPr>
          <w:rFonts w:ascii="Courier New" w:hAnsi="Courier New"/>
          <w:sz w:val="18"/>
        </w:rPr>
        <w:t>Tittle_Pain Point_5: FX Procurement Friction</w:t>
      </w:r>
    </w:p>
    <w:p>
      <w:r>
        <w:rPr>
          <w:rFonts w:ascii="Courier New" w:hAnsi="Courier New"/>
          <w:sz w:val="18"/>
        </w:rPr>
      </w:r>
    </w:p>
    <w:p>
      <w:r>
        <w:rPr>
          <w:rFonts w:ascii="Courier New" w:hAnsi="Courier New"/>
          <w:sz w:val="18"/>
        </w:rPr>
        <w:t>Desc_Pain Point_1: Vyond bills all plans in USD only, from $99/month Starter to $1,649/year Enterprise. With 20,000+ companies across 195 countries and 65%+ of Fortune 500 as customers, forcing USD credit card payments on global buyers adds unnecessary procurement friction at scale.</w:t>
      </w:r>
    </w:p>
    <w:p>
      <w:r>
        <w:rPr>
          <w:rFonts w:ascii="Courier New" w:hAnsi="Courier New"/>
          <w:sz w:val="18"/>
        </w:rPr>
        <w:t>Desc_Pain Point_2: Annual Enterprise contracts at $1,649/user/year auto-renew via credit card. A single acquirer decline on a multi-seat renewal (35+ seats for companies like Whole Foods) means thousands in lost revenue. No documented retry cascade protects these high-value transactions.</w:t>
      </w:r>
    </w:p>
    <w:p>
      <w:r>
        <w:rPr>
          <w:rFonts w:ascii="Courier New" w:hAnsi="Courier New"/>
          <w:sz w:val="18"/>
        </w:rPr>
        <w:t>Desc_Pain Point_3: Vyond serves customers in 195 countries but offers zero local alternative payment methods. UK customers cannot pay via BACS, German buyers cannot use SEPA, Indian enterprises cannot use UPI, and French organizations cannot use Carte Bancaire.</w:t>
      </w:r>
    </w:p>
    <w:p>
      <w:r>
        <w:rPr>
          <w:rFonts w:ascii="Courier New" w:hAnsi="Courier New"/>
          <w:sz w:val="18"/>
        </w:rPr>
        <w:t>Desc_Pain Point_4: Multi-seat Enterprise licenses (35+ seats common) represent high-value contracts. When card payments fail on renewal, entire team licenses lapse, disrupting content creation workflows. Each failed renewal risks losing $57K+ in annual contract value.</w:t>
      </w:r>
    </w:p>
    <w:p>
      <w:r>
        <w:rPr>
          <w:rFonts w:ascii="Courier New" w:hAnsi="Courier New"/>
          <w:sz w:val="18"/>
        </w:rPr>
        <w:t>Desc_Pain Point_5: Enterprise buyers in EUR, GBP, JPY, and INR markets absorb FX conversion costs on $1,649/user/year invoices. For a 35-seat deal, the FX overhead on a $57K+ contract creates budget unpredictability that competitors with local billing can exploit.</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(likely, standard SaaS pattern)</w:t>
      </w:r>
    </w:p>
    <w:p>
      <w:r>
        <w:rPr>
          <w:rFonts w:ascii="Courier New" w:hAnsi="Courier New"/>
          <w:sz w:val="18"/>
        </w:rPr>
        <w:t>PSP_2: Credit Card (all plans)</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SEPA Direct Debit</w:t>
      </w:r>
    </w:p>
    <w:p>
      <w:r>
        <w:rPr>
          <w:rFonts w:ascii="Courier New" w:hAnsi="Courier New"/>
          <w:sz w:val="18"/>
        </w:rPr>
        <w:t>Local_M_2: BACS Direct Debit</w:t>
      </w:r>
    </w:p>
    <w:p>
      <w:r>
        <w:rPr>
          <w:rFonts w:ascii="Courier New" w:hAnsi="Courier New"/>
          <w:sz w:val="18"/>
        </w:rPr>
        <w:t>Local_M_3: UPI</w:t>
      </w:r>
    </w:p>
    <w:p>
      <w:r>
        <w:rPr>
          <w:rFonts w:ascii="Courier New" w:hAnsi="Courier New"/>
          <w:sz w:val="18"/>
        </w:rPr>
        <w:t>Local_M_4: iDEAL</w:t>
      </w:r>
    </w:p>
    <w:p>
      <w:r>
        <w:rPr>
          <w:rFonts w:ascii="Courier New" w:hAnsi="Courier New"/>
          <w:sz w:val="18"/>
        </w:rPr>
        <w:t>Local_M_5: Bancontact</w:t>
      </w:r>
    </w:p>
    <w:p>
      <w:r>
        <w:rPr>
          <w:rFonts w:ascii="Courier New" w:hAnsi="Courier New"/>
          <w:sz w:val="18"/>
        </w:rPr>
        <w:t>Local_M_6: Konbini</w:t>
      </w:r>
    </w:p>
    <w:p>
      <w:r>
        <w:rPr>
          <w:rFonts w:ascii="Courier New" w:hAnsi="Courier New"/>
          <w:sz w:val="18"/>
        </w:rPr>
        <w:t>Local_M_7: Carte Bancaire</w:t>
      </w:r>
    </w:p>
    <w:p>
      <w:r>
        <w:rPr>
          <w:rFonts w:ascii="Courier New" w:hAnsi="Courier New"/>
          <w:sz w:val="18"/>
        </w:rPr>
        <w:t>Local_M_8: Sofort</w:t>
      </w:r>
    </w:p>
    <w:p>
      <w:r>
        <w:rPr>
          <w:rFonts w:ascii="Courier New" w:hAnsi="Courier New"/>
          <w:sz w:val="18"/>
        </w:rPr>
        <w:t>Local_M_9: Boleto</w:t>
      </w:r>
    </w:p>
    <w:p>
      <w:r>
        <w:rPr>
          <w:rFonts w:ascii="Courier New" w:hAnsi="Courier New"/>
          <w:sz w:val="18"/>
        </w:rPr>
        <w:t>Local_M_10: BLIK</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Route each enterprise renewal to the best-performing acquirer by card BIN, issuer, and geography. With 20,000+ companies across 195 countries, even a 3% auth uplift on annual Enterprise renewals ($1,649/user) recovers significant revenue otherwise lost to payment failures.</w:t>
      </w:r>
    </w:p>
    <w:p>
      <w:r>
        <w:rPr>
          <w:rFonts w:ascii="Courier New" w:hAnsi="Courier New"/>
          <w:sz w:val="18"/>
        </w:rPr>
        <w:t>Desc_Yuno_Cap2: Automatic retry cascades across multiple acquirers protect Vyond's high-value multi-seat renewals. When the primary processor declines a 35-seat Enterprise charge ($57K+), Yuno reroutes in milliseconds to a backup, recovering up to 50% of soft declines and preventing license lapse.</w:t>
      </w:r>
    </w:p>
    <w:p>
      <w:r>
        <w:rPr>
          <w:rFonts w:ascii="Courier New" w:hAnsi="Courier New"/>
          <w:sz w:val="18"/>
        </w:rPr>
        <w:t>Desc_Yuno_Cap3: Unlock enterprise billing across 195 countries: SEPA Direct Debit for EU (largest market after US), BACS for UK, UPI for India, Konbini for Japan, Carte Bancaire for France. One API, 1,000+ methods, zero engineering sprints per market.</w:t>
      </w:r>
    </w:p>
    <w:p>
      <w:r>
        <w:rPr>
          <w:rFonts w:ascii="Courier New" w:hAnsi="Courier New"/>
          <w:sz w:val="18"/>
        </w:rPr>
        <w:t>Desc_Yuno_Cap4: One dashboard consolidating Vyond's subscription billing across all processors and payment methods. Real-time approval monitoring per geography and plan tier, centralized reconciliation, and cohort-level churn analytics tied to payment failures across Starter, Professional, and Enterprise.</w:t>
      </w:r>
    </w:p>
    <w:p>
      <w:r>
        <w:t>__________________________________________________</w:t>
      </w:r>
    </w:p>
    <w:p>
      <w:pPr>
        <w:pStyle w:val="Heading2"/>
      </w:pPr>
      <w:r>
        <w:t>RESEARCH BACKING | Key Facts for the Meeting</w:t>
      </w:r>
    </w:p>
    <w:p>
      <w:r>
        <w:rPr>
          <w:b/>
        </w:rPr>
        <w:t>Vyond at a glance:</w:t>
      </w:r>
    </w:p>
    <w:p>
      <w:pPr>
        <w:pStyle w:val="ListBullet"/>
      </w:pPr>
      <w:r>
        <w:t>AI-powered video creation platform for business (animation, text-to-video, AI avatars)</w:t>
      </w:r>
    </w:p>
    <w:p>
      <w:pPr>
        <w:pStyle w:val="ListBullet"/>
      </w:pPr>
      <w:r>
        <w:t>Founded 2007 (as GoAnimate), rebranded to Vyond 2018; headquartered in San Francisco</w:t>
      </w:r>
    </w:p>
    <w:p>
      <w:pPr>
        <w:pStyle w:val="ListBullet"/>
      </w:pPr>
      <w:r>
        <w:t>Total funding: $50M (Series C, April 2021, led by PeakSpan Capital)</w:t>
      </w:r>
    </w:p>
    <w:p>
      <w:pPr>
        <w:pStyle w:val="ListBullet"/>
      </w:pPr>
      <w:r>
        <w:t>69 employees as of late 2025</w:t>
      </w:r>
    </w:p>
    <w:p>
      <w:pPr>
        <w:pStyle w:val="ListBullet"/>
      </w:pPr>
      <w:r>
        <w:t>20,000+ companies use Vyond; 65%+ of Fortune Global 500</w:t>
      </w:r>
    </w:p>
    <w:p>
      <w:pPr>
        <w:pStyle w:val="ListBullet"/>
      </w:pPr>
      <w:r>
        <w:t>FedRAMP-authorized (US Federal Government plan available)</w:t>
      </w:r>
    </w:p>
    <w:p>
      <w:pPr>
        <w:pStyle w:val="ListBullet"/>
      </w:pPr>
      <w:r>
        <w:t>Customers across 195 countries, most concentrated in UK, US, and France</w:t>
      </w:r>
    </w:p>
    <w:p>
      <w:pPr>
        <w:pStyle w:val="ListBullet"/>
      </w:pPr>
      <w:r>
        <w:t>Plans: Starter ($99/user/mo), Professional ($199/user/mo), Enterprise ($1,649/user/yr), Agency ($1,999/user/yr)</w:t>
      </w:r>
    </w:p>
    <w:p>
      <w:r>
        <w:rPr>
          <w:b/>
        </w:rPr>
        <w:t>Notable enterprise customers:</w:t>
      </w:r>
    </w:p>
    <w:p>
      <w:pPr>
        <w:pStyle w:val="ListBullet"/>
      </w:pPr>
      <w:r>
        <w:t>65%+ of Fortune Global 500</w:t>
      </w:r>
    </w:p>
    <w:p>
      <w:pPr>
        <w:pStyle w:val="ListBullet"/>
      </w:pPr>
      <w:r>
        <w:t>Whole Foods Market (35-seat Enterprise license)</w:t>
      </w:r>
    </w:p>
    <w:p>
      <w:pPr>
        <w:pStyle w:val="ListBullet"/>
      </w:pPr>
      <w:r>
        <w:t>Tanium (cybersecurity, upgraded to Enterprise)</w:t>
      </w:r>
    </w:p>
    <w:p>
      <w:pPr>
        <w:pStyle w:val="ListBullet"/>
      </w:pPr>
      <w:r>
        <w:t>US Federal Government agencies (FedRAMP-authorized)</w:t>
      </w:r>
    </w:p>
    <w:p>
      <w:pPr>
        <w:pStyle w:val="ListBullet"/>
      </w:pPr>
      <w:r>
        <w:t>Global partners across Europe, APAC, and Latin America</w:t>
      </w:r>
    </w:p>
    <w:p>
      <w:r>
        <w:rPr>
          <w:b/>
        </w:rPr>
        <w:t>Confirmed PSPs:</w:t>
      </w:r>
    </w:p>
    <w:p>
      <w:pPr>
        <w:pStyle w:val="ListBullet"/>
      </w:pPr>
      <w:r>
        <w:t>Credit card billing for all self-serve plans (monthly and annual)</w:t>
      </w:r>
    </w:p>
    <w:p>
      <w:pPr>
        <w:pStyle w:val="ListBullet"/>
      </w:pPr>
      <w:r>
        <w:t>USD-only pricing across all tiers</w:t>
      </w:r>
    </w:p>
    <w:p>
      <w:pPr>
        <w:pStyle w:val="ListBullet"/>
      </w:pPr>
      <w:r>
        <w:t>No local payment methods or multi-currency billing detected</w:t>
      </w:r>
    </w:p>
    <w:p>
      <w:pPr>
        <w:pStyle w:val="ListBullet"/>
      </w:pPr>
      <w:r>
        <w:t>No payment orchestrator detected</w:t>
      </w:r>
    </w:p>
    <w:p>
      <w:r>
        <w:rPr>
          <w:b/>
        </w:rPr>
        <w:t>Product capabilities:</w:t>
      </w:r>
    </w:p>
    <w:p>
      <w:pPr>
        <w:pStyle w:val="ListBullet"/>
      </w:pPr>
      <w:r>
        <w:t>AI avatars and 650+ text-to-speech voices</w:t>
      </w:r>
    </w:p>
    <w:p>
      <w:pPr>
        <w:pStyle w:val="ListBullet"/>
      </w:pPr>
      <w:r>
        <w:t>80+ language translation</w:t>
      </w:r>
    </w:p>
    <w:p>
      <w:pPr>
        <w:pStyle w:val="ListBullet"/>
      </w:pPr>
      <w:r>
        <w:t>4M+ Shutterstock assets (Professional+)</w:t>
      </w:r>
    </w:p>
    <w:p>
      <w:pPr>
        <w:pStyle w:val="ListBullet"/>
      </w:pPr>
      <w:r>
        <w:t>Screen and webcam recording</w:t>
      </w:r>
    </w:p>
    <w:p>
      <w:pPr>
        <w:pStyle w:val="ListBullet"/>
      </w:pPr>
      <w:r>
        <w:t>Text-to-video generation</w:t>
      </w:r>
    </w:p>
    <w:p>
      <w:pPr>
        <w:pStyle w:val="ListBullet"/>
      </w:pPr>
      <w:r>
        <w:t>Brand management tools (Enterprise)</w:t>
      </w:r>
    </w:p>
    <w:p>
      <w:pPr>
        <w:pStyle w:val="ListBullet"/>
      </w:pPr>
      <w:r>
        <w:t>130+ AI voices (Enterprise)</w:t>
      </w:r>
    </w:p>
    <w:p>
      <w:r>
        <w:rPr>
          <w:b/>
        </w:rPr>
        <w:t>Top 5 Markets Gap Analysis:</w:t>
      </w:r>
    </w:p>
    <w:p>
      <w:r>
        <w:t>MARKET 1: United States (largest market)</w:t>
      </w:r>
    </w:p>
    <w:p>
      <w:r>
        <w:t>Currently offer: Credit card (Visa/MC/Amex)</w:t>
      </w:r>
    </w:p>
    <w:p>
      <w:r>
        <w:t>Missing: ACH Direct Debit, wire transfer</w:t>
      </w:r>
    </w:p>
    <w:p>
      <w:r>
        <w:t>US enterprises purchasing multi-seat licenses ($57K+) prefer ACH. Card-only creates procurement barriers.</w:t>
      </w:r>
    </w:p>
    <w:p>
      <w:r>
        <w:t>MARKET 2: United Kingdom (top international market)</w:t>
      </w:r>
    </w:p>
    <w:p>
      <w:r>
        <w:t>Currently offer: Credit card (USD billing)</w:t>
      </w:r>
    </w:p>
    <w:p>
      <w:r>
        <w:t>Missing: BACS Direct Debit, Open Banking, GBP invoicing</w:t>
      </w:r>
    </w:p>
    <w:p>
      <w:r>
        <w:t>UK is Vyond's largest international market. BACS DD is standard for B2B SaaS subscriptions.</w:t>
      </w:r>
    </w:p>
    <w:p>
      <w:r>
        <w:t>MARKET 3: France (third largest market)</w:t>
      </w:r>
    </w:p>
    <w:p>
      <w:r>
        <w:t>Currently offer: Credit card (USD billing)</w:t>
      </w:r>
    </w:p>
    <w:p>
      <w:r>
        <w:t>Missing: Carte Bancaire, SEPA Direct Debit, EUR invoicing</w:t>
      </w:r>
    </w:p>
    <w:p>
      <w:r>
        <w:t>French enterprises expect local card schemes and SEPA for recurring SaaS spend.</w:t>
      </w:r>
    </w:p>
    <w:p>
      <w:r>
        <w:t>MARKET 4: Germany / DACH</w:t>
      </w:r>
    </w:p>
    <w:p>
      <w:r>
        <w:t>Currently offer: Credit card (USD billing)</w:t>
      </w:r>
    </w:p>
    <w:p>
      <w:r>
        <w:t>Missing: SEPA Direct Debit, Sofort, EUR invoicing</w:t>
      </w:r>
    </w:p>
    <w:p>
      <w:r>
        <w:t>~35% card penetration. German enterprises strongly prefer SEPA DD for recurring payments.</w:t>
      </w:r>
    </w:p>
    <w:p>
      <w:r>
        <w:t>MARKET 5: Japan / APAC</w:t>
      </w:r>
    </w:p>
    <w:p>
      <w:r>
        <w:t>Currently offer: Credit card (USD billing)</w:t>
      </w:r>
    </w:p>
    <w:p>
      <w:r>
        <w:t>Missing: Konbini, bank transfer (furikomi), JCB optimization</w:t>
      </w:r>
    </w:p>
    <w:p>
      <w:r>
        <w:t>Japanese enterprise procurement often requires local bank transfer or convenience store payment.</w:t>
      </w:r>
    </w:p>
    <w:p>
      <w:r>
        <w:rPr>
          <w:b/>
        </w:rPr>
        <w:t>Key meeting angles:</w:t>
      </w:r>
    </w:p>
    <w:p>
      <w:r>
        <w:t xml:space="preserve">1. </w:t>
      </w:r>
      <w:r>
        <w:rPr>
          <w:b/>
        </w:rPr>
        <w:t>20,000+ companies, 195 countries</w:t>
      </w:r>
      <w:r>
        <w:t xml:space="preserve"> | Massive global footprint with zero local payment infrastructure creates conversion friction everywhere.</w:t>
      </w:r>
    </w:p>
    <w:p>
      <w:r>
        <w:t xml:space="preserve">2. </w:t>
      </w:r>
      <w:r>
        <w:rPr>
          <w:b/>
        </w:rPr>
        <w:t>65%+ of Fortune 500</w:t>
      </w:r>
      <w:r>
        <w:t xml:space="preserve"> | Enterprise buyers demand ACH, SEPA, and invoice workflows. Card-only creates procurement barriers.</w:t>
      </w:r>
    </w:p>
    <w:p>
      <w:r>
        <w:t xml:space="preserve">3. </w:t>
      </w:r>
      <w:r>
        <w:rPr>
          <w:b/>
        </w:rPr>
        <w:t>High-value multi-seat deals</w:t>
      </w:r>
      <w:r>
        <w:t xml:space="preserve"> | 35+ seat Enterprise deals ($57K+) at risk from single-point-of-failure card billing.</w:t>
      </w:r>
    </w:p>
    <w:p>
      <w:r>
        <w:t xml:space="preserve">4. </w:t>
      </w:r>
      <w:r>
        <w:rPr>
          <w:b/>
        </w:rPr>
        <w:t>Annual renewal concentration</w:t>
      </w:r>
      <w:r>
        <w:t xml:space="preserve"> | Enterprise contracts renew annually. A failed charge on renewal day means months of re-engagement.</w:t>
      </w:r>
    </w:p>
    <w:p>
      <w:r>
        <w:t xml:space="preserve">5. </w:t>
      </w:r>
      <w:r>
        <w:rPr>
          <w:b/>
        </w:rPr>
        <w:t>FedRAMP = government compliance</w:t>
      </w:r>
      <w:r>
        <w:t xml:space="preserve"> | If Vyond meets FedRAMP for security, payment compliance should match (ACH, wire, PO-based billing).</w:t>
      </w:r>
    </w:p>
    <w:p>
      <w:r>
        <w:t xml:space="preserve">6. </w:t>
      </w:r>
      <w:r>
        <w:rPr>
          <w:b/>
        </w:rPr>
        <w:t>Competitive pressure</w:t>
      </w:r>
      <w:r>
        <w:t xml:space="preserve"> | Competitors like Synthesia and HeyGen offer localized billing and multi-currency support.</w:t>
      </w:r>
    </w:p>
    <w:p>
      <w:r>
        <w:rPr>
          <w:b/>
        </w:rPr>
        <w:t>Sources:</w:t>
      </w:r>
    </w:p>
    <w:p>
      <w:pPr>
        <w:pStyle w:val="ListBullet"/>
      </w:pPr>
      <w:r>
        <w:t>[Vyond Homepage](https://www.vyond.com/)</w:t>
      </w:r>
    </w:p>
    <w:p>
      <w:pPr>
        <w:pStyle w:val="ListBullet"/>
      </w:pPr>
      <w:r>
        <w:t>[Vyond Plans &amp; Pricing](https://www.vyond.com/plans/)</w:t>
      </w:r>
    </w:p>
    <w:p>
      <w:pPr>
        <w:pStyle w:val="ListBullet"/>
      </w:pPr>
      <w:r>
        <w:t>[Vyond Enterprise Solutions](https://www.vyond.com/solutions/enterprise/)</w:t>
      </w:r>
    </w:p>
    <w:p>
      <w:pPr>
        <w:pStyle w:val="ListBullet"/>
      </w:pPr>
      <w:r>
        <w:t>[Vyond Global Partner Program](https://www.vyond.com/partners/)</w:t>
      </w:r>
    </w:p>
    <w:p>
      <w:pPr>
        <w:pStyle w:val="ListBullet"/>
      </w:pPr>
      <w:r>
        <w:t>[Vyond About](https://www.vyond.com/company/)</w:t>
      </w:r>
    </w:p>
    <w:p>
      <w:pPr>
        <w:pStyle w:val="ListBullet"/>
      </w:pPr>
      <w:r>
        <w:t>[Tracxn: Vyond Profile](https://tracxn.com/d/companies/vyond/__dji8vyLPz9siJx56SctAhIUQ9XLZQ6ukfyL3NHn2F7U)</w:t>
      </w:r>
    </w:p>
    <w:p>
      <w:pPr>
        <w:pStyle w:val="ListBullet"/>
      </w:pPr>
      <w:r>
        <w:t>[Brandfetch: Vyond Logo](https://brandfetch.com/vyond.com)</w:t>
      </w:r>
    </w:p>
    <w:p>
      <w:pPr>
        <w:pStyle w:val="ListBullet"/>
      </w:pPr>
      <w:r>
        <w:t>[AppsRunTheWorld: Vyond Customers](https://www.appsruntheworld.com/customers-database/products/view/vyond)</w:t>
      </w:r>
    </w:p>
    <w:p>
      <w:pPr>
        <w:pStyle w:val="ListBullet"/>
      </w:pPr>
      <w:r>
        <w:t>[Capterra: Vyond](https://www.capterra.com/p/182240/Vyond/)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