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WILLIAMS-SONOMA, INC. | Stripe Sessions Research (SS Database Format)</w:t>
      </w:r>
    </w:p>
    <w:p>
      <w:r>
        <w:t>Generated: 2026-04-21</w:t>
      </w:r>
    </w:p>
    <w:p/>
    <w:p>
      <w:r>
        <w:rPr>
          <w:rFonts w:ascii="Consolas" w:hAnsi="Consolas"/>
          <w:sz w:val="18"/>
        </w:rPr>
        <w:t>=======================================</w:t>
      </w:r>
    </w:p>
    <w:p>
      <w:r>
        <w:rPr>
          <w:rFonts w:ascii="Consolas" w:hAnsi="Consolas"/>
          <w:sz w:val="18"/>
        </w:rPr>
        <w:t>DATABASE FIELDS: Williams-Sonoma</w:t>
      </w:r>
    </w:p>
    <w:p>
      <w:r>
        <w:rPr>
          <w:rFonts w:ascii="Consolas" w:hAnsi="Consolas"/>
          <w:sz w:val="18"/>
        </w:rPr>
        <w:t>=======================================</w:t>
      </w:r>
    </w:p>
    <w:p>
      <w:r>
        <w:rPr>
          <w:rFonts w:ascii="Consolas" w:hAnsi="Consolas"/>
          <w:sz w:val="18"/>
        </w:rPr>
      </w:r>
    </w:p>
    <w:p>
      <w:r>
        <w:rPr>
          <w:rFonts w:ascii="Consolas" w:hAnsi="Consolas"/>
          <w:sz w:val="18"/>
        </w:rPr>
        <w:t>Logo: https://upload.wikimedia.org/wikipedia/commons/0/0f/Williams_Sonoma_logo.svg</w:t>
      </w:r>
    </w:p>
    <w:p>
      <w:r>
        <w:rPr>
          <w:rFonts w:ascii="Consolas" w:hAnsi="Consolas"/>
          <w:sz w:val="18"/>
        </w:rPr>
        <w:t>Nombre merchant: Williams-Sonoma, Inc.</w:t>
      </w:r>
    </w:p>
    <w:p>
      <w:r>
        <w:rPr>
          <w:rFonts w:ascii="Consolas" w:hAnsi="Consolas"/>
          <w:sz w:val="18"/>
        </w:rPr>
      </w:r>
    </w:p>
    <w:p>
      <w:r>
        <w:rPr>
          <w:rFonts w:ascii="Consolas" w:hAnsi="Consolas"/>
          <w:sz w:val="18"/>
        </w:rPr>
        <w:t>SLIDE 1: PAIN POINTS</w:t>
      </w:r>
    </w:p>
    <w:p>
      <w:r>
        <w:rPr>
          <w:rFonts w:ascii="Consolas" w:hAnsi="Consolas"/>
          <w:sz w:val="18"/>
        </w:rPr>
      </w:r>
    </w:p>
    <w:p>
      <w:r>
        <w:rPr>
          <w:rFonts w:ascii="Consolas" w:hAnsi="Consolas"/>
          <w:sz w:val="18"/>
        </w:rPr>
        <w:t>Tittle_Pain Point_1: Multi-Brand PSP Sprawl</w:t>
      </w:r>
    </w:p>
    <w:p>
      <w:r>
        <w:rPr>
          <w:rFonts w:ascii="Consolas" w:hAnsi="Consolas"/>
          <w:sz w:val="18"/>
        </w:rPr>
        <w:t>Tittle_Pain Point_2: Cross-Border Card Only</w:t>
      </w:r>
    </w:p>
    <w:p>
      <w:r>
        <w:rPr>
          <w:rFonts w:ascii="Consolas" w:hAnsi="Consolas"/>
          <w:sz w:val="18"/>
        </w:rPr>
        <w:t>Tittle_Pain Point_3: EU Market Blackout</w:t>
      </w:r>
    </w:p>
    <w:p>
      <w:r>
        <w:rPr>
          <w:rFonts w:ascii="Consolas" w:hAnsi="Consolas"/>
          <w:sz w:val="18"/>
        </w:rPr>
        <w:t>Tittle_Pain Point_4: BNPL Limited Reach</w:t>
      </w:r>
    </w:p>
    <w:p>
      <w:r>
        <w:rPr>
          <w:rFonts w:ascii="Consolas" w:hAnsi="Consolas"/>
          <w:sz w:val="18"/>
        </w:rPr>
        <w:t>Tittle_Pain Point_5: Checkout Fraud Friction</w:t>
      </w:r>
    </w:p>
    <w:p>
      <w:r>
        <w:rPr>
          <w:rFonts w:ascii="Consolas" w:hAnsi="Consolas"/>
          <w:sz w:val="18"/>
        </w:rPr>
      </w:r>
    </w:p>
    <w:p>
      <w:r>
        <w:rPr>
          <w:rFonts w:ascii="Consolas" w:hAnsi="Consolas"/>
          <w:sz w:val="18"/>
        </w:rPr>
        <w:t>Desc_Pain Point_1: Seven consumer brands (Williams-Sonoma, Pottery Barn, PB Kids, PB Teen, West Elm, Rejuvenation, Mark &amp; Graham) each run on separate e-commerce sites with no unified payment orchestration. Capital One issues co-branded cards, Affirm handles BNPL, and FiftyOne/Borderfree (now Global-e) manages cross-border. No single layer connects them.</w:t>
      </w:r>
    </w:p>
    <w:p>
      <w:r>
        <w:rPr>
          <w:rFonts w:ascii="Consolas" w:hAnsi="Consolas"/>
          <w:sz w:val="18"/>
        </w:rPr>
        <w:t>Desc_Pain Point_2: International orders through FiftyOne/Global-e accept only Visa, Mastercard, and PayPal across 60+ countries. No iDEAL for Dutch shoppers, no Bancontact in Belgium, no Konbini in Japan, no PIX in Brazil. High-AOV furniture purchases need local bank transfers and installments to convert.</w:t>
      </w:r>
    </w:p>
    <w:p>
      <w:r>
        <w:rPr>
          <w:rFonts w:ascii="Consolas" w:hAnsi="Consolas"/>
          <w:sz w:val="18"/>
        </w:rPr>
        <w:t>Desc_Pain Point_3: Williams-Sonoma currently cannot accept orders from the European Union due to "technical challenges caused by new regulations." The entire EU market for all seven brands is offline. Only UK customers can still order. This represents millions in lost revenue from Europe's largest home furnishings market.</w:t>
      </w:r>
    </w:p>
    <w:p>
      <w:r>
        <w:rPr>
          <w:rFonts w:ascii="Consolas" w:hAnsi="Consolas"/>
          <w:sz w:val="18"/>
        </w:rPr>
        <w:t>Desc_Pain Point_4: Affirm expanded to Canada in May 2025 across all six brands, but no BNPL exists for UK, Australia, or any international market. For a company where average order values exceed $300 on furniture, missing installment options in key markets directly lowers conversion rates.</w:t>
      </w:r>
    </w:p>
    <w:p>
      <w:r>
        <w:rPr>
          <w:rFonts w:ascii="Consolas" w:hAnsi="Consolas"/>
          <w:sz w:val="18"/>
        </w:rPr>
        <w:t>Desc_Pain Point_5: BBB complaints cite unauthorized charges, including hidden $99.99 shipping subscriptions added to credit cards without consent. Capital One card integration issues surfaced after the migration from Comenity Bank. Customers report declined applications even for high-value furniture orders.</w:t>
      </w:r>
    </w:p>
    <w:p>
      <w:r>
        <w:rPr>
          <w:rFonts w:ascii="Consolas" w:hAnsi="Consolas"/>
          <w:sz w:val="18"/>
        </w:rPr>
      </w:r>
    </w:p>
    <w:p>
      <w:r>
        <w:rPr>
          <w:rFonts w:ascii="Consolas" w:hAnsi="Consolas"/>
          <w:sz w:val="18"/>
        </w:rPr>
        <w:t>SLIDE 1: PSP TOPOLOGY</w:t>
      </w:r>
    </w:p>
    <w:p>
      <w:r>
        <w:rPr>
          <w:rFonts w:ascii="Consolas" w:hAnsi="Consolas"/>
          <w:sz w:val="18"/>
        </w:rPr>
      </w:r>
    </w:p>
    <w:p>
      <w:r>
        <w:rPr>
          <w:rFonts w:ascii="Consolas" w:hAnsi="Consolas"/>
          <w:sz w:val="18"/>
        </w:rPr>
        <w:t>PSP_1: Capital One (co-branded Key Rewards Visa issuer)</w:t>
      </w:r>
    </w:p>
    <w:p>
      <w:r>
        <w:rPr>
          <w:rFonts w:ascii="Consolas" w:hAnsi="Consolas"/>
          <w:sz w:val="18"/>
        </w:rPr>
        <w:t>PSP_2: Affirm (BNPL, US + Canada)</w:t>
      </w:r>
    </w:p>
    <w:p>
      <w:r>
        <w:rPr>
          <w:rFonts w:ascii="Consolas" w:hAnsi="Consolas"/>
          <w:sz w:val="18"/>
        </w:rPr>
        <w:t>PSP_3: FiftyOne/Global-e (cross-border payments)</w:t>
      </w:r>
    </w:p>
    <w:p>
      <w:r>
        <w:rPr>
          <w:rFonts w:ascii="Consolas" w:hAnsi="Consolas"/>
          <w:sz w:val="18"/>
        </w:rPr>
        <w:t>PSP_4: PayPal</w:t>
      </w:r>
    </w:p>
    <w:p>
      <w:r>
        <w:rPr>
          <w:rFonts w:ascii="Consolas" w:hAnsi="Consolas"/>
          <w:sz w:val="18"/>
        </w:rPr>
      </w:r>
    </w:p>
    <w:p>
      <w:r>
        <w:rPr>
          <w:rFonts w:ascii="Consolas" w:hAnsi="Consolas"/>
          <w:sz w:val="18"/>
        </w:rPr>
        <w:t>SLIDE 1: MISSING LOCAL METHODS (BLIND SPOTS)</w:t>
      </w:r>
    </w:p>
    <w:p>
      <w:r>
        <w:rPr>
          <w:rFonts w:ascii="Consolas" w:hAnsi="Consolas"/>
          <w:sz w:val="18"/>
        </w:rPr>
      </w:r>
    </w:p>
    <w:p>
      <w:r>
        <w:rPr>
          <w:rFonts w:ascii="Consolas" w:hAnsi="Consolas"/>
          <w:sz w:val="18"/>
        </w:rPr>
        <w:t>Local_M_1: iDEAL</w:t>
      </w:r>
    </w:p>
    <w:p>
      <w:r>
        <w:rPr>
          <w:rFonts w:ascii="Consolas" w:hAnsi="Consolas"/>
          <w:sz w:val="18"/>
        </w:rPr>
        <w:t>Local_M_2: Bancontact</w:t>
      </w:r>
    </w:p>
    <w:p>
      <w:r>
        <w:rPr>
          <w:rFonts w:ascii="Consolas" w:hAnsi="Consolas"/>
          <w:sz w:val="18"/>
        </w:rPr>
        <w:t>Local_M_3: Klarna (EU/UK)</w:t>
      </w:r>
    </w:p>
    <w:p>
      <w:r>
        <w:rPr>
          <w:rFonts w:ascii="Consolas" w:hAnsi="Consolas"/>
          <w:sz w:val="18"/>
        </w:rPr>
        <w:t>Local_M_4: Afterpay (AU/NZ)</w:t>
      </w:r>
    </w:p>
    <w:p>
      <w:r>
        <w:rPr>
          <w:rFonts w:ascii="Consolas" w:hAnsi="Consolas"/>
          <w:sz w:val="18"/>
        </w:rPr>
        <w:t>Local_M_5: PIX</w:t>
      </w:r>
    </w:p>
    <w:p>
      <w:r>
        <w:rPr>
          <w:rFonts w:ascii="Consolas" w:hAnsi="Consolas"/>
          <w:sz w:val="18"/>
        </w:rPr>
        <w:t>Local_M_6: Boleto Bancario</w:t>
      </w:r>
    </w:p>
    <w:p>
      <w:r>
        <w:rPr>
          <w:rFonts w:ascii="Consolas" w:hAnsi="Consolas"/>
          <w:sz w:val="18"/>
        </w:rPr>
        <w:t>Local_M_7: Konbini</w:t>
      </w:r>
    </w:p>
    <w:p>
      <w:r>
        <w:rPr>
          <w:rFonts w:ascii="Consolas" w:hAnsi="Consolas"/>
          <w:sz w:val="18"/>
        </w:rPr>
        <w:t>Local_M_8: POLi (AU)</w:t>
      </w:r>
    </w:p>
    <w:p>
      <w:r>
        <w:rPr>
          <w:rFonts w:ascii="Consolas" w:hAnsi="Consolas"/>
          <w:sz w:val="18"/>
        </w:rPr>
        <w:t>Local_M_9: OXXO</w:t>
      </w:r>
    </w:p>
    <w:p>
      <w:r>
        <w:rPr>
          <w:rFonts w:ascii="Consolas" w:hAnsi="Consolas"/>
          <w:sz w:val="18"/>
        </w:rPr>
        <w:t>Local_M_10: Open Banking (UK)</w:t>
      </w:r>
    </w:p>
    <w:p>
      <w:r>
        <w:rPr>
          <w:rFonts w:ascii="Consolas" w:hAnsi="Consolas"/>
          <w:sz w:val="18"/>
        </w:rPr>
      </w:r>
    </w:p>
    <w:p>
      <w:r>
        <w:rPr>
          <w:rFonts w:ascii="Consolas" w:hAnsi="Consolas"/>
          <w:sz w:val="18"/>
        </w:rPr>
        <w:t>SLIDE 2: YUNO CAPABILITIES</w:t>
      </w:r>
    </w:p>
    <w:p>
      <w:r>
        <w:rPr>
          <w:rFonts w:ascii="Consolas" w:hAnsi="Consolas"/>
          <w:sz w:val="18"/>
        </w:rPr>
      </w:r>
    </w:p>
    <w:p>
      <w:r>
        <w:rPr>
          <w:rFonts w:ascii="Consolas" w:hAnsi="Consolas"/>
          <w:sz w:val="18"/>
        </w:rPr>
        <w:t>Tittle_Yuno_Cap1: Smart Routing Engine</w:t>
      </w:r>
    </w:p>
    <w:p>
      <w:r>
        <w:rPr>
          <w:rFonts w:ascii="Consolas" w:hAnsi="Consolas"/>
          <w:sz w:val="18"/>
        </w:rPr>
        <w:t>Tittle_Yuno_Cap2: Failover &amp; Cascade Retries</w:t>
      </w:r>
    </w:p>
    <w:p>
      <w:r>
        <w:rPr>
          <w:rFonts w:ascii="Consolas" w:hAnsi="Consolas"/>
          <w:sz w:val="18"/>
        </w:rPr>
        <w:t>Tittle_Yuno_Cap3: Local Payment Methods</w:t>
      </w:r>
    </w:p>
    <w:p>
      <w:r>
        <w:rPr>
          <w:rFonts w:ascii="Consolas" w:hAnsi="Consolas"/>
          <w:sz w:val="18"/>
        </w:rPr>
        <w:t>Tittle_Yuno_Cap4: Unified Orchestration Layer</w:t>
      </w:r>
    </w:p>
    <w:p>
      <w:r>
        <w:rPr>
          <w:rFonts w:ascii="Consolas" w:hAnsi="Consolas"/>
          <w:sz w:val="18"/>
        </w:rPr>
      </w:r>
    </w:p>
    <w:p>
      <w:r>
        <w:rPr>
          <w:rFonts w:ascii="Consolas" w:hAnsi="Consolas"/>
          <w:sz w:val="18"/>
        </w:rPr>
        <w:t>Desc_Yuno_Cap1: Route each transaction to the optimal acquirer by market, card BIN, and issuer in real time. With $7.7B in annual revenue and 65%+ coming through e-commerce, even a 2% authorization uplift on Williams-Sonoma's ~$5B+ digital volume translates to $100M+ in recovered annual revenue. Smart Routing replaces static FiftyOne/Global-e routing with dynamic, performance-based decisioning across all seven brands.</w:t>
      </w:r>
    </w:p>
    <w:p>
      <w:r>
        <w:rPr>
          <w:rFonts w:ascii="Consolas" w:hAnsi="Consolas"/>
          <w:sz w:val="18"/>
        </w:rPr>
        <w:t>Desc_Yuno_Cap2: When Capital One declines a Key Rewards Visa or FiftyOne/Global-e rejects an international card, Yuno automatically cascades to the next best processor in milliseconds. No customer abandons a $2,000 Pottery Barn sofa because one processor returned a soft decline. False declines on high-AOV home furnishing orders are the costliest in retail.</w:t>
      </w:r>
    </w:p>
    <w:p>
      <w:r>
        <w:rPr>
          <w:rFonts w:ascii="Consolas" w:hAnsi="Consolas"/>
          <w:sz w:val="18"/>
        </w:rPr>
        <w:t>Desc_Yuno_Cap3: One API integration activates iDEAL in the Netherlands, Bancontact in Belgium, PIX and Boleto in Brazil, Konbini in Japan, OXXO in Mexico, Klarna across the EU, and Afterpay in Australia. Yuno connects 1,000+ payment methods across 40+ countries. This directly addresses the EU blackout by providing a compliant, regulation-ready payment layer for European markets.</w:t>
      </w:r>
    </w:p>
    <w:p>
      <w:r>
        <w:rPr>
          <w:rFonts w:ascii="Consolas" w:hAnsi="Consolas"/>
          <w:sz w:val="18"/>
        </w:rPr>
        <w:t>Desc_Yuno_Cap4: Replace Williams-Sonoma's fragmented stack of Capital One, Affirm, FiftyOne/Global-e, and PayPal with a single orchestration dashboard across all seven brands. Real-time approval rate monitoring for Williams-Sonoma, Pottery Barn, West Elm, and every sub-brand from one console. Centralized settlement, unified BNPL management, and millisecond anomaly detection via Monitors.</w:t>
      </w:r>
    </w:p>
    <w:p/>
    <w:p>
      <w:r>
        <w:t>__________________________________________________</w:t>
      </w:r>
    </w:p>
    <w:p/>
    <w:p>
      <w:pPr>
        <w:pStyle w:val="Heading2"/>
      </w:pPr>
      <w:r>
        <w:t>RESEARCH BACKING | Key Facts for the Meeting</w:t>
      </w:r>
    </w:p>
    <w:p/>
    <w:p>
      <w:r>
        <w:t>Williams-Sonoma at a glance:</w:t>
      </w:r>
    </w:p>
    <w:p>
      <w:pPr>
        <w:pStyle w:val="ListBullet"/>
      </w:pPr>
      <w:r>
        <w:t>Founded 1956 in Sonoma, California. Publicly traded (NYSE: WSM)</w:t>
      </w:r>
    </w:p>
    <w:p>
      <w:pPr>
        <w:pStyle w:val="ListBullet"/>
      </w:pPr>
      <w:r>
        <w:t>CEO, President &amp; Director: Laura Alber</w:t>
      </w:r>
    </w:p>
    <w:p>
      <w:pPr>
        <w:pStyle w:val="ListBullet"/>
      </w:pPr>
      <w:r>
        <w:t>Chief Digital &amp; Technology Officer: Yasir Anwar (leads all digital, technology, and IT functions)</w:t>
      </w:r>
    </w:p>
    <w:p>
      <w:pPr>
        <w:pStyle w:val="ListBullet"/>
      </w:pPr>
      <w:r>
        <w:t>Seven brands: Williams-Sonoma, Pottery Barn, Pottery Barn Kids, Pottery Barn Teen, West Elm, Rejuvenation, Mark &amp; Graham</w:t>
      </w:r>
    </w:p>
    <w:p>
      <w:pPr>
        <w:pStyle w:val="ListBullet"/>
      </w:pPr>
      <w:r>
        <w:t>625 brick-and-mortar stores globally</w:t>
      </w:r>
    </w:p>
    <w:p>
      <w:pPr>
        <w:pStyle w:val="ListBullet"/>
      </w:pPr>
      <w:r>
        <w:t>Revenue: $7.71B (fiscal 2024), with Q4 comparable brand revenue +3.1%</w:t>
      </w:r>
    </w:p>
    <w:p>
      <w:pPr>
        <w:pStyle w:val="ListBullet"/>
      </w:pPr>
      <w:r>
        <w:t>E-commerce: 65%+ of total revenue comes through digital channels</w:t>
      </w:r>
    </w:p>
    <w:p>
      <w:pPr>
        <w:pStyle w:val="ListBullet"/>
      </w:pPr>
      <w:r>
        <w:t>Record operating margin: 21.5% (fiscal Q4 2024)</w:t>
      </w:r>
    </w:p>
    <w:p>
      <w:pPr>
        <w:pStyle w:val="ListBullet"/>
      </w:pPr>
      <w:r>
        <w:t>Market cap: ~$20B+</w:t>
      </w:r>
    </w:p>
    <w:p>
      <w:pPr>
        <w:pStyle w:val="ListBullet"/>
      </w:pPr>
      <w:r>
        <w:t>International presence: US, Canada, UK, Australia. Ships to 60+ countries via FiftyOne/Global-e</w:t>
      </w:r>
    </w:p>
    <w:p>
      <w:pPr>
        <w:pStyle w:val="ListBullet"/>
      </w:pPr>
      <w:r>
        <w:t>EU orders currently suspended due to regulatory compliance challenges</w:t>
      </w:r>
    </w:p>
    <w:p>
      <w:pPr>
        <w:pStyle w:val="ListBullet"/>
      </w:pPr>
      <w:r>
        <w:t>AI strategy: deploying Salesforce Agentforce for agentic AI in customer service and operations</w:t>
      </w:r>
    </w:p>
    <w:p>
      <w:pPr>
        <w:pStyle w:val="ListBullet"/>
      </w:pPr>
      <w:r>
        <w:t>Technology stack: SAP + Oracle (domestic ERP), NetSuite (international), Salesforce (CRM + Data Cloud + Marketing Cloud)</w:t>
      </w:r>
    </w:p>
    <w:p/>
    <w:p>
      <w:r>
        <w:t>Confirmed PSPs and payment partners:</w:t>
      </w:r>
    </w:p>
    <w:p/>
    <w:tbl>
      <w:tblPr>
        <w:tblStyle w:val="TableGrid"/>
        <w:tblW w:type="auto" w:w="0"/>
        <w:tblLook w:firstColumn="1" w:firstRow="1" w:lastColumn="0" w:lastRow="0" w:noHBand="0" w:noVBand="1" w:val="04A0"/>
      </w:tblPr>
      <w:tblGrid>
        <w:gridCol w:w="2880"/>
        <w:gridCol w:w="2880"/>
        <w:gridCol w:w="2880"/>
      </w:tblGrid>
      <w:tr>
        <w:tc>
          <w:tcPr>
            <w:tcW w:type="dxa" w:w="2880"/>
          </w:tcPr>
          <w:p>
            <w:r>
              <w:t>Provider</w:t>
            </w:r>
          </w:p>
        </w:tc>
        <w:tc>
          <w:tcPr>
            <w:tcW w:type="dxa" w:w="2880"/>
          </w:tcPr>
          <w:p>
            <w:r>
              <w:t>Role</w:t>
            </w:r>
          </w:p>
        </w:tc>
        <w:tc>
          <w:tcPr>
            <w:tcW w:type="dxa" w:w="2880"/>
          </w:tcPr>
          <w:p>
            <w:r>
              <w:t>Region</w:t>
            </w:r>
          </w:p>
        </w:tc>
      </w:tr>
      <w:tr>
        <w:tc>
          <w:tcPr>
            <w:tcW w:type="dxa" w:w="2880"/>
          </w:tcPr>
          <w:p>
            <w:r>
              <w:t>Capital One</w:t>
            </w:r>
          </w:p>
        </w:tc>
        <w:tc>
          <w:tcPr>
            <w:tcW w:type="dxa" w:w="2880"/>
          </w:tcPr>
          <w:p>
            <w:r>
              <w:t>Co-branded Key Rewards Visa issuer (replaced Comenity Bank)</w:t>
            </w:r>
          </w:p>
        </w:tc>
        <w:tc>
          <w:tcPr>
            <w:tcW w:type="dxa" w:w="2880"/>
          </w:tcPr>
          <w:p>
            <w:r>
              <w:t>US</w:t>
            </w:r>
          </w:p>
        </w:tc>
      </w:tr>
      <w:tr>
        <w:tc>
          <w:tcPr>
            <w:tcW w:type="dxa" w:w="2880"/>
          </w:tcPr>
          <w:p>
            <w:r>
              <w:t>Affirm</w:t>
            </w:r>
          </w:p>
        </w:tc>
        <w:tc>
          <w:tcPr>
            <w:tcW w:type="dxa" w:w="2880"/>
          </w:tcPr>
          <w:p>
            <w:r>
              <w:t>BNPL (monthly installments, expanded to Canada May 2025)</w:t>
            </w:r>
          </w:p>
        </w:tc>
        <w:tc>
          <w:tcPr>
            <w:tcW w:type="dxa" w:w="2880"/>
          </w:tcPr>
          <w:p>
            <w:r>
              <w:t>US, Canada</w:t>
            </w:r>
          </w:p>
        </w:tc>
      </w:tr>
      <w:tr>
        <w:tc>
          <w:tcPr>
            <w:tcW w:type="dxa" w:w="2880"/>
          </w:tcPr>
          <w:p>
            <w:r>
              <w:t>FiftyOne/Global-e</w:t>
            </w:r>
          </w:p>
        </w:tc>
        <w:tc>
          <w:tcPr>
            <w:tcW w:type="dxa" w:w="2880"/>
          </w:tcPr>
          <w:p>
            <w:r>
              <w:t>Cross-border e-commerce payments + logistics</w:t>
            </w:r>
          </w:p>
        </w:tc>
        <w:tc>
          <w:tcPr>
            <w:tcW w:type="dxa" w:w="2880"/>
          </w:tcPr>
          <w:p>
            <w:r>
              <w:t>60+ countries</w:t>
            </w:r>
          </w:p>
        </w:tc>
      </w:tr>
      <w:tr>
        <w:tc>
          <w:tcPr>
            <w:tcW w:type="dxa" w:w="2880"/>
          </w:tcPr>
          <w:p>
            <w:r>
              <w:t>PayPal</w:t>
            </w:r>
          </w:p>
        </w:tc>
        <w:tc>
          <w:tcPr>
            <w:tcW w:type="dxa" w:w="2880"/>
          </w:tcPr>
          <w:p>
            <w:r>
              <w:t>Digital wallet</w:t>
            </w:r>
          </w:p>
        </w:tc>
        <w:tc>
          <w:tcPr>
            <w:tcW w:type="dxa" w:w="2880"/>
          </w:tcPr>
          <w:p>
            <w:r>
              <w:t>US, select international</w:t>
            </w:r>
          </w:p>
        </w:tc>
      </w:tr>
      <w:tr>
        <w:tc>
          <w:tcPr>
            <w:tcW w:type="dxa" w:w="2880"/>
          </w:tcPr>
          <w:p>
            <w:r>
              <w:t>Apple Pay</w:t>
            </w:r>
          </w:p>
        </w:tc>
        <w:tc>
          <w:tcPr>
            <w:tcW w:type="dxa" w:w="2880"/>
          </w:tcPr>
          <w:p>
            <w:r>
              <w:t>Mobile wallet (accepted but no free shipping benefit)</w:t>
            </w:r>
          </w:p>
        </w:tc>
        <w:tc>
          <w:tcPr>
            <w:tcW w:type="dxa" w:w="2880"/>
          </w:tcPr>
          <w:p>
            <w:r>
              <w:t>US</w:t>
            </w:r>
          </w:p>
        </w:tc>
      </w:tr>
      <w:tr>
        <w:tc>
          <w:tcPr>
            <w:tcW w:type="dxa" w:w="2880"/>
          </w:tcPr>
          <w:p>
            <w:r>
              <w:t>Google Pay</w:t>
            </w:r>
          </w:p>
        </w:tc>
        <w:tc>
          <w:tcPr>
            <w:tcW w:type="dxa" w:w="2880"/>
          </w:tcPr>
          <w:p>
            <w:r>
              <w:t>Mobile wallet (accepted but no free shipping benefit)</w:t>
            </w:r>
          </w:p>
        </w:tc>
        <w:tc>
          <w:tcPr>
            <w:tcW w:type="dxa" w:w="2880"/>
          </w:tcPr>
          <w:p>
            <w:r>
              <w:t>US</w:t>
            </w:r>
          </w:p>
        </w:tc>
      </w:tr>
    </w:tbl>
    <w:p/>
    <w:p>
      <w:r>
        <w:t>No payment orchestrator detected. Each brand runs its own site and payment flow with shared Capital One card infrastructure.</w:t>
      </w:r>
    </w:p>
    <w:p/>
    <w:p>
      <w:r>
        <w:t>Top Markets Gap Analysis:</w:t>
      </w:r>
    </w:p>
    <w:p/>
    <w:p>
      <w:r>
        <w:t>MARKET 1: United States (~96% of revenue, 625 stores)</w:t>
      </w:r>
    </w:p>
    <w:p>
      <w:r>
        <w:t xml:space="preserve">  Accepted: Visa/MC/Amex/Discover, PayPal, Apple Pay, Google Pay, Affirm, Capital One Key Rewards Visa/Store Card</w:t>
      </w:r>
    </w:p>
    <w:p>
      <w:r>
        <w:t xml:space="preserve">  Missing: Venmo, Cash App Pay, Amazon Pay, Klarna</w:t>
      </w:r>
    </w:p>
    <w:p>
      <w:r>
        <w:t xml:space="preserve">  Insight: 65%+ of revenue is digital. Apple Pay and Google Pay accepted but explicitly excluded from free shipping promotions, creating friction. AOV above $300 means BNPL is critical.</w:t>
      </w:r>
    </w:p>
    <w:p/>
    <w:p>
      <w:r>
        <w:t>MARKET 2: Canada (direct shipping, Affirm expansion May 2025)</w:t>
      </w:r>
    </w:p>
    <w:p>
      <w:r>
        <w:t xml:space="preserve">  Accepted: Visa/MC, Affirm (newly added across all 6 brands)</w:t>
      </w:r>
    </w:p>
    <w:p>
      <w:r>
        <w:t xml:space="preserve">  Missing: Interac Online, Apple Pay (online), PayPal (unconfirmed for CA)</w:t>
      </w:r>
    </w:p>
    <w:p>
      <w:r>
        <w:t xml:space="preserve">  Insight: Affirm's Canada expansion is the first international BNPL move. High-AOV furniture purchases benefit strongly from installment options.</w:t>
      </w:r>
    </w:p>
    <w:p/>
    <w:p>
      <w:r>
        <w:t>MARKET 3: United Kingdom (dedicated .co.uk sites for West Elm, Pottery Barn, PB Kids)</w:t>
      </w:r>
    </w:p>
    <w:p>
      <w:r>
        <w:t xml:space="preserve">  Accepted: Visa/MC via FiftyOne/Global-e</w:t>
      </w:r>
    </w:p>
    <w:p>
      <w:r>
        <w:t xml:space="preserve">  Missing: Klarna UK, Clearpay/Afterpay UK, Open Banking, Apple Pay, Google Pay</w:t>
      </w:r>
    </w:p>
    <w:p>
      <w:r>
        <w:t xml:space="preserve">  Insight: UK is the only European market still accepting orders. No BNPL available despite UK being the largest BNPL market in Europe. High-AOV furniture needs installment options.</w:t>
      </w:r>
    </w:p>
    <w:p/>
    <w:p>
      <w:r>
        <w:t>MARKET 4: Australia (4 owned stores: WS, PB, PBK, West Elm)</w:t>
      </w:r>
    </w:p>
    <w:p>
      <w:r>
        <w:t xml:space="preserve">  Accepted: Visa/MC (local acquiring through physical stores)</w:t>
      </w:r>
    </w:p>
    <w:p>
      <w:r>
        <w:t xml:space="preserve">  Missing: Afterpay (AU), POLi, PayID, Apple Pay (online), Google Pay (online)</w:t>
      </w:r>
    </w:p>
    <w:p>
      <w:r>
        <w:t xml:space="preserve">  Insight: First international owned retail stores (opened 2015). Afterpay is dominant in Australian e-commerce and absent from Williams-Sonoma brands.</w:t>
      </w:r>
    </w:p>
    <w:p/>
    <w:p>
      <w:r>
        <w:t>MARKET 5: European Union (CURRENTLY OFFLINE)</w:t>
      </w:r>
    </w:p>
    <w:p>
      <w:r>
        <w:t xml:space="preserve">  Accepted: NONE (orders suspended)</w:t>
      </w:r>
    </w:p>
    <w:p>
      <w:r>
        <w:t xml:space="preserve">  Missing: ALL local methods (iDEAL, Bancontact, Sofort, Klarna, Cartes Bancaires, MB Way, Bizum, SEPA Direct Debit)</w:t>
      </w:r>
    </w:p>
    <w:p>
      <w:r>
        <w:t xml:space="preserve">  Insight: "Due to technical challenges caused by new regulations in Europe, we can for the time being no longer accept orders from the European Union." This is a massive revenue gap. A payment orchestrator with built-in EU regulatory compliance could reactivate this market.</w:t>
      </w:r>
    </w:p>
    <w:p/>
    <w:p>
      <w:r>
        <w:t>MARKET 6: Japan, Latin America, Middle East (via FiftyOne/Global-e)</w:t>
      </w:r>
    </w:p>
    <w:p>
      <w:r>
        <w:t xml:space="preserve">  Accepted: Visa/MC via FiftyOne/Global-e</w:t>
      </w:r>
    </w:p>
    <w:p>
      <w:r>
        <w:t xml:space="preserve">  Missing: Konbini (JP), PayPay (JP), PIX (BR), Boleto (BR), OXXO (MX), SPEI (MX), Mada (SA)</w:t>
      </w:r>
    </w:p>
    <w:p>
      <w:r>
        <w:t xml:space="preserve">  Insight: Card-only cross-border approach loses conversion in markets where local methods dominate. Japan cash-based payment culture and Brazil PIX dominance (70%+ of digital payments) make card-only checkout insufficient.</w:t>
      </w:r>
    </w:p>
    <w:p/>
    <w:p>
      <w:r>
        <w:t>Payment and checkout error history:</w:t>
      </w:r>
    </w:p>
    <w:p>
      <w:pPr>
        <w:pStyle w:val="ListBullet"/>
      </w:pPr>
      <w:r>
        <w:t>BBB complaints cite unauthorized $99.99 shipping subscription charges added without customer consent</w:t>
      </w:r>
    </w:p>
    <w:p>
      <w:pPr>
        <w:pStyle w:val="ListBullet"/>
      </w:pPr>
      <w:r>
        <w:t>Capital One card migration from Comenity Bank created integration issues for financial tracking software</w:t>
      </w:r>
    </w:p>
    <w:p>
      <w:pPr>
        <w:pStyle w:val="ListBullet"/>
      </w:pPr>
      <w:r>
        <w:t>Customers report declined card applications for high-value furniture purchases even with strong credit</w:t>
      </w:r>
    </w:p>
    <w:p>
      <w:pPr>
        <w:pStyle w:val="ListBullet"/>
      </w:pPr>
      <w:r>
        <w:t>Cross-brand gift card application errors at checkout</w:t>
      </w:r>
    </w:p>
    <w:p>
      <w:pPr>
        <w:pStyle w:val="ListBullet"/>
      </w:pPr>
      <w:r>
        <w:t>International customers report currency conversion confusion with FiftyOne/Global-e checkout overlay</w:t>
      </w:r>
    </w:p>
    <w:p/>
    <w:p>
      <w:r>
        <w:t>Key meeting angles:</w:t>
      </w:r>
    </w:p>
    <w:p>
      <w:pPr>
        <w:pStyle w:val="ListNumber"/>
      </w:pPr>
      <w:r>
        <w:t>EU blackout = urgent pain | Williams-Sonoma cannot accept EU orders due to regulatory "technical challenges." A payment orchestrator with built-in EU compliance (PSD2/SCA, GDPR) could reactivate this market immediately.</w:t>
      </w:r>
    </w:p>
    <w:p>
      <w:pPr>
        <w:pStyle w:val="ListNumber"/>
      </w:pPr>
      <w:r>
        <w:t>$5B+ digital volume, zero orchestration | 65%+ of $7.7B revenue flows through e-commerce with no payment optimization layer. Even small auth rate improvements at this scale are worth $100M+.</w:t>
      </w:r>
    </w:p>
    <w:p>
      <w:pPr>
        <w:pStyle w:val="ListNumber"/>
      </w:pPr>
      <w:r>
        <w:t>Seven brands, one opportunity | A single Yuno integration across all seven brands replaces fragmented Capital One + Affirm + FiftyOne/Global-e + PayPal stacks.</w:t>
      </w:r>
    </w:p>
    <w:p>
      <w:pPr>
        <w:pStyle w:val="ListNumber"/>
      </w:pPr>
      <w:r>
        <w:t>High-AOV = high BNPL need | Average orders above $300 (furniture), yet Affirm is the only BNPL and it only works in US/Canada. UK, Australia, and 60+ cross-border countries have zero installment options.</w:t>
      </w:r>
    </w:p>
    <w:p>
      <w:pPr>
        <w:pStyle w:val="ListNumber"/>
      </w:pPr>
      <w:r>
        <w:t>Australia = Afterpay country | Four owned stores in Australia but no Afterpay integration. 30%+ of Australian online shoppers use BNPL.</w:t>
      </w:r>
    </w:p>
    <w:p>
      <w:pPr>
        <w:pStyle w:val="ListNumber"/>
      </w:pPr>
      <w:r>
        <w:t>FiftyOne/Global-e card-only problem | 60+ countries served but only card payments accepted. Local APMs would unlock conversion in major markets.</w:t>
      </w:r>
    </w:p>
    <w:p>
      <w:pPr>
        <w:pStyle w:val="ListNumber"/>
      </w:pPr>
      <w:r>
        <w:t>AI-forward company | Already deploying Salesforce Agentforce and prioritizing tech. Payment orchestration fits their innovation narrative.</w:t>
      </w:r>
    </w:p>
    <w:p/>
    <w:p>
      <w:r>
        <w:t>Sources:</w:t>
      </w:r>
    </w:p>
    <w:p>
      <w:pPr>
        <w:pStyle w:val="ListBullet"/>
      </w:pPr>
      <w:r>
        <w:t>Williams-Sonoma FY2024 Q4 Earnings Release</w:t>
      </w:r>
    </w:p>
    <w:p>
      <w:pPr>
        <w:pStyle w:val="ListBullet"/>
      </w:pPr>
      <w:r>
        <w:t>Williams-Sonoma FY2025 Results</w:t>
      </w:r>
    </w:p>
    <w:p>
      <w:pPr>
        <w:pStyle w:val="ListBullet"/>
      </w:pPr>
      <w:r>
        <w:t>Williams-Sonoma International Shipping (2011 Launch)</w:t>
      </w:r>
    </w:p>
    <w:p>
      <w:pPr>
        <w:pStyle w:val="ListBullet"/>
      </w:pPr>
      <w:r>
        <w:t>Williams-Sonoma International Returns &amp; Exceptions</w:t>
      </w:r>
    </w:p>
    <w:p>
      <w:pPr>
        <w:pStyle w:val="ListBullet"/>
      </w:pPr>
      <w:r>
        <w:t>Williams-Sonoma International Shipping Page</w:t>
      </w:r>
    </w:p>
    <w:p>
      <w:pPr>
        <w:pStyle w:val="ListBullet"/>
      </w:pPr>
      <w:r>
        <w:t>Williams-Sonoma + Capital One Key Rewards Launch</w:t>
      </w:r>
    </w:p>
    <w:p>
      <w:pPr>
        <w:pStyle w:val="ListBullet"/>
      </w:pPr>
      <w:r>
        <w:t>Capital One Key Rewards Visa</w:t>
      </w:r>
    </w:p>
    <w:p>
      <w:pPr>
        <w:pStyle w:val="ListBullet"/>
      </w:pPr>
      <w:r>
        <w:t>Affirm Expands to Canada with Williams-Sonoma (May 2025)</w:t>
      </w:r>
    </w:p>
    <w:p>
      <w:pPr>
        <w:pStyle w:val="ListBullet"/>
      </w:pPr>
      <w:r>
        <w:t>Pottery Barn Apple Pay (Knoji)</w:t>
      </w:r>
    </w:p>
    <w:p>
      <w:pPr>
        <w:pStyle w:val="ListBullet"/>
      </w:pPr>
      <w:r>
        <w:t>West Elm FAQ (Payment Methods)</w:t>
      </w:r>
    </w:p>
    <w:p>
      <w:pPr>
        <w:pStyle w:val="ListBullet"/>
      </w:pPr>
      <w:r>
        <w:t>Williams-Sonoma + Salesforce Partnership</w:t>
      </w:r>
    </w:p>
    <w:p>
      <w:pPr>
        <w:pStyle w:val="ListBullet"/>
      </w:pPr>
      <w:r>
        <w:t>Williams-Sonoma Agentforce AI Deployment</w:t>
      </w:r>
    </w:p>
    <w:p>
      <w:pPr>
        <w:pStyle w:val="ListBullet"/>
      </w:pPr>
      <w:r>
        <w:t>Williams-Sonoma Two-Tier ERP (Diginomica)</w:t>
      </w:r>
    </w:p>
    <w:p>
      <w:pPr>
        <w:pStyle w:val="ListBullet"/>
      </w:pPr>
      <w:r>
        <w:t>Williams-Sonoma NetSuite Commerce Selection</w:t>
      </w:r>
    </w:p>
    <w:p>
      <w:pPr>
        <w:pStyle w:val="ListBullet"/>
      </w:pPr>
      <w:r>
        <w:t>Williams-Sonoma CTO Yasir Anwar (Metis Strategy)</w:t>
      </w:r>
    </w:p>
    <w:p>
      <w:pPr>
        <w:pStyle w:val="ListBullet"/>
      </w:pPr>
      <w:r>
        <w:t>Williams-Sonoma AI Headcount Strategy (Retail Dive)</w:t>
      </w:r>
    </w:p>
    <w:p>
      <w:pPr>
        <w:pStyle w:val="ListBullet"/>
      </w:pPr>
      <w:r>
        <w:t>Williams-Sonoma BBB Complaints</w:t>
      </w:r>
    </w:p>
    <w:p>
      <w:pPr>
        <w:pStyle w:val="ListBullet"/>
      </w:pPr>
      <w:r>
        <w:t>Williams-Sonoma Wikipedia</w:t>
      </w:r>
    </w:p>
    <w:p>
      <w:pPr>
        <w:pStyle w:val="ListBullet"/>
      </w:pPr>
      <w:r>
        <w:t>Williams-Sonoma Logo (Wikimedia SVG)</w:t>
      </w:r>
    </w:p>
    <w:p>
      <w:pPr>
        <w:pStyle w:val="ListBullet"/>
      </w:pPr>
      <w:r>
        <w:t>Williams-Sonoma Company Overview</w:t>
      </w:r>
    </w:p>
    <w:p>
      <w:pPr>
        <w:pStyle w:val="ListBullet"/>
      </w:pPr>
      <w:r>
        <w:t>Williams-Sonoma Executive Biographies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