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Memorando: Normal, densidad, σ y varianza</w:t>
      </w:r>
    </w:p>
    <w:p>
      <w:pPr>
        <w:pStyle w:val="Heading2"/>
      </w:pPr>
      <w:r>
        <w:t>1) Notación y parámetros</w:t>
      </w:r>
    </w:p>
    <w:p>
      <w:r>
        <w:t>• μ (mu): media (centro).</w:t>
      </w:r>
    </w:p>
    <w:p>
      <w:r>
        <w:t>• σ (sigma): desviación típica (anchura).</w:t>
      </w:r>
    </w:p>
    <w:p>
      <w:r>
        <w:t>• σ²: varianza.</w:t>
      </w:r>
    </w:p>
    <w:p>
      <w:r>
        <w:t>• X (mayúscula): variable aleatoria (fenómeno). x (minúscula): valor concreto.</w:t>
      </w:r>
    </w:p>
    <w:p>
      <w:pPr>
        <w:pStyle w:val="Heading2"/>
      </w:pPr>
      <w:r>
        <w:t>2) Densidad (PDF) y probabilidad como área</w:t>
      </w:r>
    </w:p>
    <w:p>
      <w:r>
        <w:t>La curva que dibujas es una densidad f(x); la probabilidad es el área bajo la curva en un intervalo.</w:t>
      </w:r>
    </w:p>
    <w:p>
      <w:r>
        <w:t>Aproximación útil: P(x ≤ X ≤ x+Δx) ≈ f(x)·Δx.</w:t>
      </w:r>
    </w:p>
    <w:p>
      <w:r>
        <w:drawing>
          <wp:inline xmlns:a="http://schemas.openxmlformats.org/drawingml/2006/main" xmlns:pic="http://schemas.openxmlformats.org/drawingml/2006/picture">
            <wp:extent cx="5486400" cy="8356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5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356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5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356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5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3) Efecto de μ y σ en la campana</w:t>
      </w:r>
    </w:p>
    <w:p>
      <w:r>
        <w:t>• Cambiar μ desplaza la campana.</w:t>
      </w:r>
    </w:p>
    <w:p>
      <w:r>
        <w:t>• σ pequeño ⇒ alta y estrecha (más concentración).</w:t>
      </w:r>
    </w:p>
    <w:p>
      <w:r>
        <w:t>• σ grande ⇒ baja y ancha (más dispersión).</w:t>
      </w:r>
    </w:p>
    <w:p>
      <w:r>
        <w:t>El pico en x=μ vale 1/(σ√(2π)).</w:t>
      </w:r>
    </w:p>
    <w:p>
      <w:r>
        <w:drawing>
          <wp:inline xmlns:a="http://schemas.openxmlformats.org/drawingml/2006/main" xmlns:pic="http://schemas.openxmlformats.org/drawingml/2006/picture">
            <wp:extent cx="5486400" cy="8356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5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4) Regla 68–95 (concentración típica)</w:t>
      </w:r>
    </w:p>
    <w:p>
      <w:r>
        <w:t>En una normal:</w:t>
      </w:r>
    </w:p>
    <w:p>
      <w:r>
        <w:t>• P(μ−σ ≤ X ≤ μ+σ) ≈ 0.6827</w:t>
      </w:r>
    </w:p>
    <w:p>
      <w:r>
        <w:t>• P(μ−2σ ≤ X ≤ μ+2σ) ≈ 0.9545</w:t>
      </w:r>
    </w:p>
    <w:p>
      <w:r>
        <w:drawing>
          <wp:inline xmlns:a="http://schemas.openxmlformats.org/drawingml/2006/main" xmlns:pic="http://schemas.openxmlformats.org/drawingml/2006/picture">
            <wp:extent cx="5486400" cy="8356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5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356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5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5) Varianza y desviación típica (población total)</w:t>
      </w:r>
    </w:p>
    <w:p>
      <w:r>
        <w:t>Para una población completa x1..xN:</w:t>
      </w:r>
    </w:p>
    <w:p>
      <w:r>
        <w:t>• μ es el promedio.</w:t>
      </w:r>
    </w:p>
    <w:p>
      <w:r>
        <w:t>• σ² es el promedio de (xi−μ)².</w:t>
      </w:r>
    </w:p>
    <w:p>
      <w:r>
        <w:t>• σ es la raíz de σ² (misma unidad que x).</w:t>
      </w:r>
    </w:p>
    <w:p>
      <w:r>
        <w:drawing>
          <wp:inline xmlns:a="http://schemas.openxmlformats.org/drawingml/2006/main" xmlns:pic="http://schemas.openxmlformats.org/drawingml/2006/picture">
            <wp:extent cx="5486400" cy="8356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5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356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5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356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5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6) TCL (Teorema Central del Límite)</w:t>
      </w:r>
    </w:p>
    <w:p>
      <w:r>
        <w:t>La suma (o media) de muchos efectos pequeños e independientes tiende a parecer normal, aunque cada efecto individual no sea normal (ejemplo: suma de dados).</w:t>
      </w:r>
    </w:p>
    <w:p>
      <w:pPr>
        <w:pStyle w:val="Heading2"/>
      </w:pPr>
      <w:r>
        <w:t>7) Ejemplos no normales (asimetría)</w:t>
      </w:r>
    </w:p>
    <w:p>
      <w:r>
        <w:t>Ingresos/riqueza, tiempos de espera, tamaños de archivos: suelen ser sesgados (colas largas) y no simétricos; a menudo se modelan mejor con lognormal/gamma,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