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F74F9AA" w14:textId="77777777" w:rsidR="00240E4D" w:rsidRDefault="00FB0184">
      <w:pPr>
        <w:pStyle w:val="1"/>
        <w:contextualSpacing w:val="0"/>
      </w:pPr>
      <w:bookmarkStart w:id="0" w:name="h.4zhcxb4iz20r" w:colFirst="0" w:colLast="0"/>
      <w:bookmarkEnd w:id="0"/>
      <w:r>
        <w:t>Билет 9</w:t>
      </w:r>
    </w:p>
    <w:p w14:paraId="3E2F6B89" w14:textId="77777777" w:rsidR="00240E4D" w:rsidRDefault="00FB0184">
      <w:pPr>
        <w:pStyle w:val="2"/>
        <w:contextualSpacing w:val="0"/>
      </w:pPr>
      <w:bookmarkStart w:id="1" w:name="h.6g148n4memdj" w:colFirst="0" w:colLast="0"/>
      <w:bookmarkEnd w:id="1"/>
      <w:r>
        <w:t>Оперативный учет</w:t>
      </w:r>
    </w:p>
    <w:p w14:paraId="252180DE" w14:textId="77777777" w:rsidR="00240E4D" w:rsidRDefault="00FB0184">
      <w:pPr>
        <w:pStyle w:val="10"/>
        <w:contextualSpacing w:val="0"/>
      </w:pPr>
      <w:r>
        <w:t>Организация занимается оптовой торговлей. Для описания товаров существуют различные характеристики, набор которых составляет свойство. Учет товаров ведется в разрезе свойств этих товаров, причем для каждого товара набор этих свойств может быть произвольный. Например, «ботинки черные 42 размера», «ботинки коричневые 42 размера» и «ботинки коричневые 44 размера утепленные» это один товар «ботинки», но с разными свойствами. «Черные 42 размера» будет являться свойством, а цвет «черный» и размер «42» являются характеристиками.</w:t>
      </w:r>
    </w:p>
    <w:p w14:paraId="2845D2F9" w14:textId="77777777" w:rsidR="00240E4D" w:rsidRDefault="00FB0184">
      <w:pPr>
        <w:pStyle w:val="10"/>
        <w:contextualSpacing w:val="0"/>
      </w:pPr>
      <w:r>
        <w:t>Поступление товаров отражается документом «Приходная накладная», продажа - «Расходная накладная». И в документе поступления, и в документе списания для каждого товара указывается его свойство.</w:t>
      </w:r>
    </w:p>
    <w:p w14:paraId="6A57600F" w14:textId="77777777" w:rsidR="00240E4D" w:rsidRDefault="00FB0184">
      <w:pPr>
        <w:pStyle w:val="10"/>
        <w:contextualSpacing w:val="0"/>
      </w:pPr>
      <w:r>
        <w:t>Механизм свойств и характеристик товаров должен быть реализован с использованием плана видов характеристик.</w:t>
      </w:r>
    </w:p>
    <w:p w14:paraId="5F220082" w14:textId="77777777" w:rsidR="00240E4D" w:rsidRDefault="00FB0184">
      <w:pPr>
        <w:pStyle w:val="10"/>
        <w:contextualSpacing w:val="0"/>
      </w:pPr>
      <w:r>
        <w:t>Складской учет товаров не ведется.</w:t>
      </w:r>
    </w:p>
    <w:p w14:paraId="5C1B5184" w14:textId="77777777" w:rsidR="00240E4D" w:rsidRDefault="00FB0184">
      <w:pPr>
        <w:pStyle w:val="10"/>
        <w:contextualSpacing w:val="0"/>
      </w:pPr>
      <w:r>
        <w:t>Списание себестоимости товаров должно быть организовано в разрезе свойств.</w:t>
      </w:r>
    </w:p>
    <w:p w14:paraId="69F7DAE4" w14:textId="77777777" w:rsidR="00240E4D" w:rsidRDefault="00FB0184">
      <w:pPr>
        <w:pStyle w:val="10"/>
        <w:contextualSpacing w:val="0"/>
      </w:pPr>
      <w:r>
        <w:t>Необходимо построить отчет о движениях товаров за период по выбранной характеристике в количественном и суммовом выражении.</w:t>
      </w:r>
    </w:p>
    <w:p w14:paraId="2677290C" w14:textId="77777777" w:rsidR="00240E4D" w:rsidRDefault="00240E4D">
      <w:pPr>
        <w:pStyle w:val="10"/>
        <w:contextualSpacing w:val="0"/>
      </w:pPr>
    </w:p>
    <w:p w14:paraId="3921D4F1" w14:textId="77777777" w:rsidR="00240E4D" w:rsidRDefault="00FB0184">
      <w:pPr>
        <w:pStyle w:val="10"/>
        <w:contextualSpacing w:val="0"/>
      </w:pPr>
      <w:r>
        <w:t>Ведомость товаров с 01.01.2010 по 31.03.2010 по характеристике «производитель».</w:t>
      </w:r>
    </w:p>
    <w:tbl>
      <w:tblPr>
        <w:tblStyle w:val="aff2"/>
        <w:tblW w:w="96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9"/>
        <w:gridCol w:w="2273"/>
        <w:gridCol w:w="1861"/>
        <w:gridCol w:w="1173"/>
        <w:gridCol w:w="1073"/>
        <w:gridCol w:w="1849"/>
      </w:tblGrid>
      <w:tr w:rsidR="00240E4D" w14:paraId="3DF8EF77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186B876A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proofErr w:type="spellStart"/>
            <w:r>
              <w:rPr>
                <w:b/>
              </w:rPr>
              <w:t>Харак</w:t>
            </w:r>
            <w:proofErr w:type="spellEnd"/>
            <w:r>
              <w:rPr>
                <w:b/>
              </w:rPr>
              <w:t>-ка</w:t>
            </w: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43616B8B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Товар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69A99C0B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Нач. остаток</w:t>
            </w: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4DF7D2D9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Приход</w:t>
            </w: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148A9C3F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Расход</w:t>
            </w: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21332E3C" w14:textId="77777777" w:rsidR="00240E4D" w:rsidRDefault="00FB0184">
            <w:pPr>
              <w:pStyle w:val="10"/>
              <w:ind w:firstLine="15"/>
              <w:contextualSpacing w:val="0"/>
              <w:jc w:val="center"/>
            </w:pPr>
            <w:r>
              <w:rPr>
                <w:b/>
              </w:rPr>
              <w:t>Кон. остаток</w:t>
            </w:r>
          </w:p>
        </w:tc>
      </w:tr>
      <w:tr w:rsidR="00240E4D" w14:paraId="4D16C677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5AD2DE10" w14:textId="77777777" w:rsidR="00240E4D" w:rsidRDefault="00FB0184">
            <w:pPr>
              <w:pStyle w:val="10"/>
              <w:ind w:firstLine="15"/>
              <w:contextualSpacing w:val="0"/>
            </w:pPr>
            <w:proofErr w:type="spellStart"/>
            <w:r>
              <w:t>Adidas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249BF8C6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0EF4647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3AB58C42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4EA9BA15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7332107B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52700BB5" w14:textId="77777777">
        <w:trPr>
          <w:trHeight w:val="300"/>
        </w:trPr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5D98A3F1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083C84CC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5A9DB5E7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50C86B8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279935FF" w14:textId="77777777" w:rsidR="00240E4D" w:rsidRDefault="00FB0184">
            <w:pPr>
              <w:pStyle w:val="10"/>
              <w:ind w:firstLine="15"/>
              <w:contextualSpacing w:val="0"/>
            </w:pPr>
            <w:r>
              <w:t>4</w:t>
            </w:r>
          </w:p>
          <w:p w14:paraId="60EDCC55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14648C29" w14:textId="77777777" w:rsidR="00240E4D" w:rsidRDefault="00FB0184">
            <w:pPr>
              <w:pStyle w:val="10"/>
              <w:ind w:firstLine="15"/>
              <w:contextualSpacing w:val="0"/>
            </w:pPr>
            <w:r>
              <w:t>5</w:t>
            </w:r>
          </w:p>
          <w:p w14:paraId="3BBB8815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6474E532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55B91B0D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487F3048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6810F0D1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7CA1774D" w14:textId="77777777" w:rsidR="00240E4D" w:rsidRDefault="00FB0184">
            <w:pPr>
              <w:pStyle w:val="10"/>
              <w:ind w:firstLine="15"/>
              <w:contextualSpacing w:val="0"/>
            </w:pPr>
            <w:r>
              <w:t>Портсигар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64E14F55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74E797D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1BC03362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25AF7EAE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2633CEB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3C1ED14B" w14:textId="77777777" w:rsidR="00240E4D" w:rsidRDefault="00FB0184">
            <w:pPr>
              <w:pStyle w:val="10"/>
              <w:ind w:firstLine="15"/>
              <w:contextualSpacing w:val="0"/>
            </w:pPr>
            <w:r>
              <w:t>3</w:t>
            </w:r>
          </w:p>
          <w:p w14:paraId="4B1D477B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55B4D2D5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307ED987" w14:textId="77777777" w:rsidR="00240E4D" w:rsidRDefault="00FB0184">
            <w:pPr>
              <w:pStyle w:val="10"/>
              <w:ind w:firstLine="15"/>
              <w:contextualSpacing w:val="0"/>
            </w:pPr>
            <w:proofErr w:type="spellStart"/>
            <w:r>
              <w:t>Puma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65BE1F1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6AFAB436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042C5D41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4D2E12B8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308F224F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0B19A7D3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5E6D6F63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5355D47E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30470A0D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7B969857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24DED8E9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0FE634F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54A90BE3" w14:textId="77777777" w:rsidR="00240E4D" w:rsidRDefault="00FB0184">
            <w:pPr>
              <w:pStyle w:val="10"/>
              <w:ind w:firstLine="15"/>
              <w:contextualSpacing w:val="0"/>
            </w:pPr>
            <w:r>
              <w:t>3</w:t>
            </w:r>
          </w:p>
          <w:p w14:paraId="62A1F980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300079F4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0C41AE33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2A0F9277" w14:textId="77777777" w:rsidR="00240E4D" w:rsidRDefault="00FB0184">
            <w:pPr>
              <w:pStyle w:val="10"/>
              <w:ind w:firstLine="15"/>
              <w:contextualSpacing w:val="0"/>
            </w:pPr>
            <w:proofErr w:type="spellStart"/>
            <w:r>
              <w:t>Nike</w:t>
            </w:r>
            <w:proofErr w:type="spellEnd"/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299D8616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491D276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6F5CD9E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4EF7FBD7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740C982E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  <w:tr w:rsidR="00240E4D" w14:paraId="50092FFD" w14:textId="77777777">
        <w:tc>
          <w:tcPr>
            <w:tcW w:w="1410" w:type="dxa"/>
            <w:shd w:val="clear" w:color="auto" w:fill="FFFFFF"/>
            <w:tcMar>
              <w:left w:w="115" w:type="dxa"/>
              <w:right w:w="115" w:type="dxa"/>
            </w:tcMar>
          </w:tcPr>
          <w:p w14:paraId="15C78039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2273" w:type="dxa"/>
            <w:shd w:val="clear" w:color="auto" w:fill="FFFFFF"/>
            <w:tcMar>
              <w:left w:w="115" w:type="dxa"/>
              <w:right w:w="115" w:type="dxa"/>
            </w:tcMar>
          </w:tcPr>
          <w:p w14:paraId="2AF9CAB6" w14:textId="77777777" w:rsidR="00240E4D" w:rsidRDefault="00FB0184">
            <w:pPr>
              <w:pStyle w:val="10"/>
              <w:ind w:firstLine="15"/>
              <w:contextualSpacing w:val="0"/>
            </w:pPr>
            <w:r>
              <w:t>Куртка замшевая</w:t>
            </w:r>
          </w:p>
        </w:tc>
        <w:tc>
          <w:tcPr>
            <w:tcW w:w="1861" w:type="dxa"/>
            <w:shd w:val="clear" w:color="auto" w:fill="FFFFFF"/>
            <w:tcMar>
              <w:left w:w="115" w:type="dxa"/>
              <w:right w:w="115" w:type="dxa"/>
            </w:tcMar>
          </w:tcPr>
          <w:p w14:paraId="527D639D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173" w:type="dxa"/>
            <w:shd w:val="clear" w:color="auto" w:fill="FFFFFF"/>
            <w:tcMar>
              <w:left w:w="115" w:type="dxa"/>
              <w:right w:w="115" w:type="dxa"/>
            </w:tcMar>
          </w:tcPr>
          <w:p w14:paraId="73999762" w14:textId="77777777" w:rsidR="00240E4D" w:rsidRDefault="00FB0184">
            <w:pPr>
              <w:pStyle w:val="10"/>
              <w:ind w:firstLine="15"/>
              <w:contextualSpacing w:val="0"/>
            </w:pPr>
            <w:r>
              <w:t>3</w:t>
            </w:r>
          </w:p>
          <w:p w14:paraId="5101B52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073" w:type="dxa"/>
            <w:shd w:val="clear" w:color="auto" w:fill="FFFFFF"/>
            <w:tcMar>
              <w:left w:w="115" w:type="dxa"/>
              <w:right w:w="115" w:type="dxa"/>
            </w:tcMar>
          </w:tcPr>
          <w:p w14:paraId="6B8E35E1" w14:textId="77777777" w:rsidR="00240E4D" w:rsidRDefault="00FB0184">
            <w:pPr>
              <w:pStyle w:val="10"/>
              <w:ind w:firstLine="15"/>
              <w:contextualSpacing w:val="0"/>
            </w:pPr>
            <w:r>
              <w:t>1</w:t>
            </w:r>
          </w:p>
          <w:p w14:paraId="3C8EC45C" w14:textId="77777777" w:rsidR="00240E4D" w:rsidRDefault="00240E4D">
            <w:pPr>
              <w:pStyle w:val="10"/>
              <w:ind w:firstLine="15"/>
              <w:contextualSpacing w:val="0"/>
            </w:pPr>
          </w:p>
        </w:tc>
        <w:tc>
          <w:tcPr>
            <w:tcW w:w="1849" w:type="dxa"/>
            <w:shd w:val="clear" w:color="auto" w:fill="FFFFFF"/>
            <w:tcMar>
              <w:left w:w="115" w:type="dxa"/>
              <w:right w:w="115" w:type="dxa"/>
            </w:tcMar>
          </w:tcPr>
          <w:p w14:paraId="1D63D2B4" w14:textId="77777777" w:rsidR="00240E4D" w:rsidRDefault="00FB0184">
            <w:pPr>
              <w:pStyle w:val="10"/>
              <w:ind w:firstLine="15"/>
              <w:contextualSpacing w:val="0"/>
            </w:pPr>
            <w:r>
              <w:t>2</w:t>
            </w:r>
          </w:p>
          <w:p w14:paraId="326DC100" w14:textId="77777777" w:rsidR="00240E4D" w:rsidRDefault="00240E4D">
            <w:pPr>
              <w:pStyle w:val="10"/>
              <w:ind w:firstLine="15"/>
              <w:contextualSpacing w:val="0"/>
            </w:pPr>
          </w:p>
        </w:tc>
      </w:tr>
    </w:tbl>
    <w:p w14:paraId="0A821549" w14:textId="77777777" w:rsidR="00240E4D" w:rsidRDefault="00240E4D">
      <w:pPr>
        <w:pStyle w:val="10"/>
        <w:contextualSpacing w:val="0"/>
      </w:pPr>
    </w:p>
    <w:p w14:paraId="66FDCF4E" w14:textId="77777777" w:rsidR="00240E4D" w:rsidRDefault="00240E4D">
      <w:pPr>
        <w:pStyle w:val="10"/>
        <w:contextualSpacing w:val="0"/>
      </w:pPr>
    </w:p>
    <w:p w14:paraId="38F684EC" w14:textId="77777777" w:rsidR="00240E4D" w:rsidRDefault="00FB0184">
      <w:pPr>
        <w:pStyle w:val="2"/>
        <w:contextualSpacing w:val="0"/>
      </w:pPr>
      <w:bookmarkStart w:id="2" w:name="h.ayn9wy78irai" w:colFirst="0" w:colLast="0"/>
      <w:bookmarkEnd w:id="2"/>
      <w:r>
        <w:t>Бухгалтерский учет</w:t>
      </w:r>
    </w:p>
    <w:p w14:paraId="0F3E7EB1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вести проводки с произвольной корреспонденцией счетов. При решении задачи следует учитывать возможность наличия проводок, сформированных с помощью данного документа.</w:t>
      </w:r>
    </w:p>
    <w:p w14:paraId="5B76DD6C" w14:textId="77777777" w:rsidR="00240E4D" w:rsidRDefault="00FB0184">
      <w:pPr>
        <w:pStyle w:val="10"/>
        <w:contextualSpacing w:val="0"/>
      </w:pPr>
      <w:r>
        <w:t>Необходимо реализовать возможность торговли товара с использованием агентов. Т.е. товар может продаваться самостоятельно (обычным порядком) и через агента. В обоих случаях используется документ «Расходная накладная». При продаже через агента заполняется дополнительный реквизит шапки «Агент».</w:t>
      </w:r>
    </w:p>
    <w:p w14:paraId="192F3B86" w14:textId="77777777" w:rsidR="00240E4D" w:rsidRDefault="00FB0184">
      <w:pPr>
        <w:pStyle w:val="10"/>
        <w:contextualSpacing w:val="0"/>
      </w:pPr>
      <w:r>
        <w:t>Продажа через агента заключается в том, что агент «приводит» клиента в компанию. Таким образом, в документе «Расходная накладная» в качестве контрагента указывается реальный покупатель. В табличной части указываются цены, по которым покупатель приобретает товарные позиции. Агент получает вознаграждение в виде 20% от разницы между продажной стоимостью и себестоимостью проданных с его участием позиций. Сама выплата вознаграждения агенту отражается ручной операцией.</w:t>
      </w:r>
    </w:p>
    <w:p w14:paraId="485B9171" w14:textId="77777777" w:rsidR="00240E4D" w:rsidRDefault="00FB0184">
      <w:pPr>
        <w:pStyle w:val="10"/>
        <w:contextualSpacing w:val="0"/>
      </w:pPr>
      <w:r>
        <w:t>Учет ведется в рублях, а с агентами дополнительно ведется в валюте, причем для каждого агента установлена своя собственная валюта, не подлежащая пересмотру. При начислении вознаграждения агенту, валютная сумма определяется исходя из рублевой суммы, валюты агента и курса, установленного для данной валюты на дату документа.</w:t>
      </w:r>
    </w:p>
    <w:p w14:paraId="5485BF72" w14:textId="77777777" w:rsidR="00240E4D" w:rsidRDefault="00FB0184">
      <w:pPr>
        <w:pStyle w:val="10"/>
        <w:contextualSpacing w:val="0"/>
      </w:pPr>
      <w:r>
        <w:t>Документ «Расходная накладная» делает следующие проводки:</w:t>
      </w:r>
    </w:p>
    <w:p w14:paraId="0C33108C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«Товары» на количество и себестоимость товара;</w:t>
      </w:r>
    </w:p>
    <w:p w14:paraId="36FAED8A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продажи.</w:t>
      </w:r>
    </w:p>
    <w:p w14:paraId="21DD07EF" w14:textId="77777777" w:rsidR="00240E4D" w:rsidRDefault="00FB0184">
      <w:pPr>
        <w:pStyle w:val="10"/>
        <w:contextualSpacing w:val="0"/>
      </w:pPr>
      <w:r>
        <w:t>В случае если товар продается через агента, то делается дополнительная проводка:</w:t>
      </w:r>
    </w:p>
    <w:p w14:paraId="7693736C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«Агенты» на сумму вознаграждения агента.</w:t>
      </w:r>
    </w:p>
    <w:p w14:paraId="2212617C" w14:textId="77777777" w:rsidR="00240E4D" w:rsidRDefault="00FB0184">
      <w:pPr>
        <w:pStyle w:val="10"/>
        <w:contextualSpacing w:val="0"/>
      </w:pPr>
      <w:r>
        <w:t>Документ не должен проводиться в случае, если каких-либо из указанных товаров не хватает. Учет товаров ведется в разрезе складов. Себестоимость рассчитывается как средняя по номенклатурной позиции на складе.</w:t>
      </w:r>
    </w:p>
    <w:p w14:paraId="3BEE236D" w14:textId="77777777" w:rsidR="00240E4D" w:rsidRDefault="00240E4D">
      <w:pPr>
        <w:pStyle w:val="10"/>
        <w:contextualSpacing w:val="0"/>
      </w:pPr>
    </w:p>
    <w:p w14:paraId="083B7933" w14:textId="77777777" w:rsidR="00240E4D" w:rsidRDefault="00FB0184">
      <w:pPr>
        <w:pStyle w:val="10"/>
        <w:contextualSpacing w:val="0"/>
      </w:pPr>
      <w:r>
        <w:t>Необходимо построить отчет о задолженности перед агентами на 10.01.2010</w:t>
      </w:r>
    </w:p>
    <w:tbl>
      <w:tblPr>
        <w:tblStyle w:val="aff3"/>
        <w:tblW w:w="10138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4"/>
        <w:gridCol w:w="2384"/>
        <w:gridCol w:w="2685"/>
        <w:gridCol w:w="2535"/>
      </w:tblGrid>
      <w:tr w:rsidR="00240E4D" w14:paraId="23725737" w14:textId="77777777">
        <w:tc>
          <w:tcPr>
            <w:tcW w:w="2534" w:type="dxa"/>
            <w:shd w:val="clear" w:color="auto" w:fill="FFFFFF"/>
            <w:tcMar>
              <w:left w:w="115" w:type="dxa"/>
              <w:right w:w="115" w:type="dxa"/>
            </w:tcMar>
          </w:tcPr>
          <w:p w14:paraId="44BFDF60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Агент</w:t>
            </w:r>
          </w:p>
        </w:tc>
        <w:tc>
          <w:tcPr>
            <w:tcW w:w="2384" w:type="dxa"/>
            <w:shd w:val="clear" w:color="auto" w:fill="FFFFFF"/>
            <w:tcMar>
              <w:left w:w="115" w:type="dxa"/>
              <w:right w:w="115" w:type="dxa"/>
            </w:tcMar>
          </w:tcPr>
          <w:p w14:paraId="0263A55D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Валюта</w:t>
            </w:r>
          </w:p>
        </w:tc>
        <w:tc>
          <w:tcPr>
            <w:tcW w:w="2685" w:type="dxa"/>
            <w:shd w:val="clear" w:color="auto" w:fill="FFFFFF"/>
            <w:tcMar>
              <w:left w:w="115" w:type="dxa"/>
              <w:right w:w="115" w:type="dxa"/>
            </w:tcMar>
          </w:tcPr>
          <w:p w14:paraId="0EB41F95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 валютная</w:t>
            </w:r>
          </w:p>
        </w:tc>
        <w:tc>
          <w:tcPr>
            <w:tcW w:w="2535" w:type="dxa"/>
            <w:shd w:val="clear" w:color="auto" w:fill="FFFFFF"/>
            <w:tcMar>
              <w:left w:w="115" w:type="dxa"/>
              <w:right w:w="115" w:type="dxa"/>
            </w:tcMar>
          </w:tcPr>
          <w:p w14:paraId="561F6D51" w14:textId="77777777" w:rsidR="00240E4D" w:rsidRDefault="00FB0184">
            <w:pPr>
              <w:pStyle w:val="10"/>
              <w:ind w:firstLine="60"/>
              <w:contextualSpacing w:val="0"/>
              <w:jc w:val="center"/>
            </w:pPr>
            <w:r>
              <w:rPr>
                <w:b/>
              </w:rPr>
              <w:t>Сумма рублевая</w:t>
            </w:r>
          </w:p>
        </w:tc>
      </w:tr>
      <w:tr w:rsidR="00240E4D" w14:paraId="0CCC0888" w14:textId="77777777">
        <w:tc>
          <w:tcPr>
            <w:tcW w:w="2534" w:type="dxa"/>
            <w:shd w:val="clear" w:color="auto" w:fill="FFFFFF"/>
            <w:tcMar>
              <w:left w:w="115" w:type="dxa"/>
              <w:right w:w="115" w:type="dxa"/>
            </w:tcMar>
          </w:tcPr>
          <w:p w14:paraId="4A990D24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384" w:type="dxa"/>
            <w:shd w:val="clear" w:color="auto" w:fill="FFFFFF"/>
            <w:tcMar>
              <w:left w:w="115" w:type="dxa"/>
              <w:right w:w="115" w:type="dxa"/>
            </w:tcMar>
          </w:tcPr>
          <w:p w14:paraId="603CC4DB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685" w:type="dxa"/>
            <w:shd w:val="clear" w:color="auto" w:fill="FFFFFF"/>
            <w:tcMar>
              <w:left w:w="115" w:type="dxa"/>
              <w:right w:w="115" w:type="dxa"/>
            </w:tcMar>
          </w:tcPr>
          <w:p w14:paraId="5BAD3425" w14:textId="77777777" w:rsidR="00240E4D" w:rsidRDefault="00240E4D">
            <w:pPr>
              <w:pStyle w:val="10"/>
              <w:ind w:firstLine="60"/>
              <w:contextualSpacing w:val="0"/>
            </w:pPr>
          </w:p>
        </w:tc>
        <w:tc>
          <w:tcPr>
            <w:tcW w:w="2535" w:type="dxa"/>
            <w:shd w:val="clear" w:color="auto" w:fill="FFFFFF"/>
            <w:tcMar>
              <w:left w:w="115" w:type="dxa"/>
              <w:right w:w="115" w:type="dxa"/>
            </w:tcMar>
          </w:tcPr>
          <w:p w14:paraId="0C7D08AC" w14:textId="77777777" w:rsidR="00240E4D" w:rsidRDefault="00240E4D">
            <w:pPr>
              <w:pStyle w:val="10"/>
              <w:ind w:firstLine="60"/>
              <w:contextualSpacing w:val="0"/>
            </w:pPr>
          </w:p>
        </w:tc>
      </w:tr>
    </w:tbl>
    <w:p w14:paraId="37A31054" w14:textId="77777777" w:rsidR="00240E4D" w:rsidRDefault="00240E4D">
      <w:pPr>
        <w:pStyle w:val="10"/>
        <w:contextualSpacing w:val="0"/>
      </w:pPr>
    </w:p>
    <w:p w14:paraId="12B9FB3C" w14:textId="77777777" w:rsidR="00240E4D" w:rsidRDefault="65618A96">
      <w:pPr>
        <w:pStyle w:val="2"/>
        <w:contextualSpacing w:val="0"/>
      </w:pPr>
      <w:bookmarkStart w:id="3" w:name="h.6yrbi5afinil"/>
      <w:bookmarkEnd w:id="3"/>
      <w:r>
        <w:t>Периодические расчеты</w:t>
      </w:r>
    </w:p>
    <w:p w14:paraId="234B7144" w14:textId="77777777" w:rsidR="00240E4D" w:rsidRPr="00CC780B" w:rsidRDefault="00FB0184">
      <w:pPr>
        <w:pStyle w:val="10"/>
        <w:contextualSpacing w:val="0"/>
      </w:pPr>
      <w:r w:rsidRPr="00CC780B">
        <w:t>Начисление методом отклонений.  Все работают по одному графику, но нужно предусмотреть возможность работы по нескольким графикам. Сотрудники могут работать в разных подразделениях.</w:t>
      </w:r>
    </w:p>
    <w:p w14:paraId="3537E93B" w14:textId="77777777" w:rsidR="00240E4D" w:rsidRPr="00CC780B" w:rsidRDefault="00FB0184">
      <w:pPr>
        <w:pStyle w:val="10"/>
        <w:contextualSpacing w:val="0"/>
      </w:pPr>
      <w:r w:rsidRPr="00CC780B">
        <w:t xml:space="preserve">Оклад по часам. Ставка часовая меняется раз в месяц и берётся на начало расчетного периода. </w:t>
      </w:r>
    </w:p>
    <w:p w14:paraId="7303E18E" w14:textId="1F0767C1" w:rsidR="00240E4D" w:rsidRPr="00CC780B" w:rsidRDefault="00FB0184">
      <w:pPr>
        <w:pStyle w:val="10"/>
        <w:contextualSpacing w:val="0"/>
      </w:pPr>
      <w:r w:rsidRPr="00CC780B">
        <w:t>Больничный. Рассчитывается как количество дней болезни</w:t>
      </w:r>
      <w:r w:rsidR="00F34AB0">
        <w:t>,</w:t>
      </w:r>
      <w:bookmarkStart w:id="4" w:name="_GoBack"/>
      <w:bookmarkEnd w:id="4"/>
      <w:r w:rsidRPr="00CC780B">
        <w:t xml:space="preserve"> умноженное на среднюю дневную ставку. Средняя дневная ставка = Сумма оклада, начисленного за предыдущий месяц, дел</w:t>
      </w:r>
      <w:r w:rsidR="00E20497" w:rsidRPr="00CC780B">
        <w:t>енная на количество рабочих дней</w:t>
      </w:r>
      <w:r w:rsidRPr="00CC780B">
        <w:t xml:space="preserve"> в том же месяце.</w:t>
      </w:r>
    </w:p>
    <w:p w14:paraId="357D1F0B" w14:textId="77777777" w:rsidR="00240E4D" w:rsidRPr="00CC780B" w:rsidRDefault="00FB0184">
      <w:pPr>
        <w:pStyle w:val="10"/>
        <w:contextualSpacing w:val="0"/>
      </w:pPr>
      <w:r w:rsidRPr="00CC780B">
        <w:t xml:space="preserve">Перерасчеты использовать не нужно. </w:t>
      </w:r>
    </w:p>
    <w:p w14:paraId="5356C84B" w14:textId="6B7ABBB6" w:rsidR="00240E4D" w:rsidRPr="00CC780B" w:rsidRDefault="1ABD39E9">
      <w:pPr>
        <w:pStyle w:val="10"/>
        <w:contextualSpacing w:val="0"/>
      </w:pPr>
      <w:r w:rsidRPr="00CC780B">
        <w:rPr>
          <w:iCs/>
        </w:rPr>
        <w:t>В одном документе Начисление ЗП может быть и оклад и больничный. Данные могут вводиться задним числом. Оклад вводится всегда в пределах месяца. Больничный можно вводить с 25.01 по 10.02 одной строкой.</w:t>
      </w:r>
    </w:p>
    <w:p w14:paraId="0A7A5D24" w14:textId="77777777" w:rsidR="00240E4D" w:rsidRPr="00CC780B" w:rsidRDefault="00FB0184">
      <w:pPr>
        <w:pStyle w:val="10"/>
        <w:contextualSpacing w:val="0"/>
      </w:pPr>
      <w:r w:rsidRPr="00CC780B">
        <w:t>Для анализа сделанных сотрудникам предприятия начислений в конфигурации необходимо предусмотреть отчет следующего вида:</w:t>
      </w:r>
    </w:p>
    <w:p w14:paraId="7DC8C081" w14:textId="77777777" w:rsidR="00240E4D" w:rsidRDefault="00240E4D">
      <w:pPr>
        <w:pStyle w:val="10"/>
        <w:contextualSpacing w:val="0"/>
      </w:pPr>
    </w:p>
    <w:tbl>
      <w:tblPr>
        <w:tblStyle w:val="aff4"/>
        <w:tblW w:w="992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480"/>
        <w:gridCol w:w="2481"/>
        <w:gridCol w:w="2481"/>
      </w:tblGrid>
      <w:tr w:rsidR="00240E4D" w14:paraId="2F95BAD3" w14:textId="77777777"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7CC2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Подразделение</w:t>
            </w: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5AA1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Сотрудник</w:t>
            </w: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E57A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Дней болезни</w:t>
            </w: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0A36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i/>
              </w:rPr>
              <w:t>Сумма начисленного больничного</w:t>
            </w:r>
          </w:p>
        </w:tc>
      </w:tr>
      <w:tr w:rsidR="00240E4D" w14:paraId="0477E574" w14:textId="77777777"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042A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4810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3F89E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2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0AF0D" w14:textId="77777777" w:rsidR="00240E4D" w:rsidRDefault="00240E4D">
            <w:pPr>
              <w:pStyle w:val="10"/>
              <w:ind w:firstLine="0"/>
              <w:contextualSpacing w:val="0"/>
            </w:pPr>
          </w:p>
        </w:tc>
      </w:tr>
    </w:tbl>
    <w:p w14:paraId="46FC4A0D" w14:textId="77777777" w:rsidR="00240E4D" w:rsidRDefault="00240E4D">
      <w:pPr>
        <w:pStyle w:val="10"/>
        <w:contextualSpacing w:val="0"/>
      </w:pPr>
    </w:p>
    <w:p w14:paraId="4DC2ECC6" w14:textId="77777777" w:rsidR="00240E4D" w:rsidRDefault="00240E4D">
      <w:pPr>
        <w:pStyle w:val="10"/>
        <w:contextualSpacing w:val="0"/>
      </w:pPr>
    </w:p>
    <w:p w14:paraId="12B1AD6E" w14:textId="77777777" w:rsidR="00240E4D" w:rsidRDefault="00FB0184">
      <w:pPr>
        <w:pStyle w:val="2"/>
        <w:contextualSpacing w:val="0"/>
      </w:pPr>
      <w:bookmarkStart w:id="5" w:name="h.s3epj3oz9lvw" w:colFirst="0" w:colLast="0"/>
      <w:bookmarkEnd w:id="5"/>
      <w:r>
        <w:t>Управляемые формы</w:t>
      </w:r>
    </w:p>
    <w:p w14:paraId="07FC10EC" w14:textId="3878EC01" w:rsidR="00240E4D" w:rsidRDefault="65618A96">
      <w:pPr>
        <w:pStyle w:val="10"/>
        <w:contextualSpacing w:val="0"/>
      </w:pPr>
      <w:r w:rsidRPr="00C06A6B">
        <w:rPr>
          <w:iCs/>
        </w:rPr>
        <w:t>Фотография в справочнике «Сотрудники» - выбирать фотку из файла и сохранять в самой базе</w:t>
      </w:r>
      <w:r w:rsidRPr="65618A96">
        <w:rPr>
          <w:i/>
          <w:iCs/>
        </w:rPr>
        <w:t xml:space="preserve">. </w:t>
      </w:r>
    </w:p>
    <w:p w14:paraId="5F85A131" w14:textId="6ED0B401" w:rsidR="65618A96" w:rsidRDefault="65618A96" w:rsidP="65618A96">
      <w:pPr>
        <w:pStyle w:val="10"/>
        <w:jc w:val="center"/>
        <w:rPr>
          <w:i/>
          <w:iCs/>
        </w:rPr>
      </w:pPr>
    </w:p>
    <w:p w14:paraId="226BDDAE" w14:textId="77777777" w:rsidR="00240E4D" w:rsidRDefault="00FB0184">
      <w:pPr>
        <w:pStyle w:val="10"/>
        <w:contextualSpacing w:val="0"/>
        <w:jc w:val="center"/>
      </w:pPr>
      <w:r>
        <w:rPr>
          <w:i/>
        </w:rPr>
        <w:t>Комментарии при сдаче</w:t>
      </w:r>
    </w:p>
    <w:p w14:paraId="393270AD" w14:textId="314E9439" w:rsidR="65618A96" w:rsidRDefault="00FB0184" w:rsidP="00C91551">
      <w:pPr>
        <w:pStyle w:val="10"/>
        <w:contextualSpacing w:val="0"/>
      </w:pPr>
      <w:r>
        <w:rPr>
          <w:b/>
        </w:rPr>
        <w:t>БУ</w:t>
      </w:r>
      <w:r>
        <w:t>: аналитика по валюте заведена некорректно. Я создал субконто Валюта, но валюта у нас задается в справочнике Контрагентов и не подлежит пересмотру, поэтому субконто не нужно, это излишняя информация. Достаточно ресурса "Вал сумма" по признаку учета "Валютный", устанавливаемых на счетах с субконто "Контрагент". А в отчете валюту</w:t>
      </w:r>
      <w:r w:rsidR="00700F31">
        <w:t xml:space="preserve"> можно подтянуть из контрагента</w:t>
      </w:r>
      <w:r>
        <w:t xml:space="preserve">. </w:t>
      </w:r>
    </w:p>
    <w:p w14:paraId="228BBD13" w14:textId="5A559462" w:rsidR="65618A96" w:rsidRDefault="65618A96" w:rsidP="65618A96">
      <w:pPr>
        <w:pStyle w:val="10"/>
        <w:ind w:firstLine="0"/>
      </w:pPr>
    </w:p>
    <w:sectPr w:rsidR="65618A96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113C3"/>
    <w:rsid w:val="000263E8"/>
    <w:rsid w:val="00061472"/>
    <w:rsid w:val="00063F47"/>
    <w:rsid w:val="000672A0"/>
    <w:rsid w:val="0007154C"/>
    <w:rsid w:val="0007442F"/>
    <w:rsid w:val="00086011"/>
    <w:rsid w:val="000C50F6"/>
    <w:rsid w:val="000C7F57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67B22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04CEE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43A88"/>
    <w:rsid w:val="00AA6B64"/>
    <w:rsid w:val="00AF3D11"/>
    <w:rsid w:val="00AF58E3"/>
    <w:rsid w:val="00B378B2"/>
    <w:rsid w:val="00B56624"/>
    <w:rsid w:val="00B77328"/>
    <w:rsid w:val="00BA0D12"/>
    <w:rsid w:val="00BB3FCF"/>
    <w:rsid w:val="00BB5870"/>
    <w:rsid w:val="00BD7FB8"/>
    <w:rsid w:val="00C06A6B"/>
    <w:rsid w:val="00C314EA"/>
    <w:rsid w:val="00C90295"/>
    <w:rsid w:val="00C91551"/>
    <w:rsid w:val="00CC780B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34AB0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7C51D-DA08-4F85-B08E-6C979710C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724</Words>
  <Characters>4131</Characters>
  <Application>Microsoft Office Word</Application>
  <DocSecurity>0</DocSecurity>
  <Lines>34</Lines>
  <Paragraphs>9</Paragraphs>
  <ScaleCrop>false</ScaleCrop>
  <Company>Reanimator Extreme Edition</Company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38</cp:revision>
  <dcterms:created xsi:type="dcterms:W3CDTF">2019-07-28T23:09:00Z</dcterms:created>
  <dcterms:modified xsi:type="dcterms:W3CDTF">2026-03-20T13:47:00Z</dcterms:modified>
</cp:coreProperties>
</file>