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240"/>
        <w:jc w:val="center"/>
        <w:rPr/>
      </w:pPr>
      <w:r>
        <w:rPr>
          <w:rFonts w:ascii="Arial" w:hAnsi="Arial"/>
          <w:b/>
          <w:color w:val="1E3A8A"/>
          <w:sz w:val="40"/>
        </w:rPr>
        <w:t>Plan de Ejecución y Roadmap</w:t>
        <w:br/>
        <w:t>Sistema de Gestión Comercial</w:t>
      </w:r>
    </w:p>
    <w:p>
      <w:pPr>
        <w:pStyle w:val="Normal"/>
        <w:spacing w:before="0" w:after="120"/>
        <w:rPr/>
      </w:pPr>
      <w:r>
        <w:rPr/>
        <w:t>Este documento define el cronograma de ejecución del proyecto, secuenciado en 5 fases principales acorde a la línea de tiempo establecida y enfocado en cumplir los requisitos funcionales documentados.</w:t>
      </w:r>
    </w:p>
    <w:tbl>
      <w:tblPr>
        <w:tblW w:w="9359" w:type="dxa"/>
        <w:jc w:val="center"/>
        <w:tblInd w:w="0" w:type="dxa"/>
        <w:tblCellMar>
          <w:top w:w="80" w:type="dxa"/>
          <w:left w:w="100" w:type="dxa"/>
          <w:bottom w:w="80" w:type="dxa"/>
          <w:right w:w="100" w:type="dxa"/>
        </w:tblCellMar>
        <w:tblLook w:firstRow="1" w:noVBand="1" w:lastRow="0" w:firstColumn="1" w:lastColumn="0" w:noHBand="0" w:val="04a0"/>
      </w:tblPr>
      <w:tblGrid>
        <w:gridCol w:w="3119"/>
        <w:gridCol w:w="3120"/>
        <w:gridCol w:w="3120"/>
      </w:tblGrid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20"/>
              </w:rPr>
              <w:t>Fase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20"/>
              </w:rPr>
              <w:t>Fecha Límite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1E3A8A"/>
          </w:tcPr>
          <w:p>
            <w:pPr>
              <w:pStyle w:val="Normal"/>
              <w:spacing w:before="0" w:after="200"/>
              <w:jc w:val="left"/>
              <w:rPr/>
            </w:pPr>
            <w:r>
              <w:rPr>
                <w:b/>
                <w:color w:val="FFFFFF"/>
                <w:sz w:val="20"/>
              </w:rPr>
              <w:t>Tareas y Requisitos Asociados</w:t>
            </w:r>
          </w:p>
        </w:tc>
      </w:tr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1E3A8A"/>
              </w:rPr>
              <w:t>Fase 01: SRS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spacing w:before="0" w:after="200"/>
              <w:rPr/>
            </w:pPr>
            <w:r>
              <w:rPr>
                <w:b/>
                <w:color w:val="475569"/>
              </w:rPr>
              <w:t>3 de Septiembre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• </w:t>
            </w:r>
            <w:r>
              <w:rPr/>
              <w:t>Redacción y aprobación del documento de requisitos funcionales y no funcionales.</w:t>
              <w:br/>
              <w:t>• Definición de alcances, usuarios y matriz de trazabilidad.</w:t>
            </w:r>
          </w:p>
        </w:tc>
      </w:tr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1E3A8A"/>
              </w:rPr>
              <w:t>Fase 02: Arquitectura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475569"/>
              </w:rPr>
              <w:t>03 de Septiembre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• </w:t>
            </w:r>
            <w:r>
              <w:rPr/>
              <w:t>Definición del patrón arquitectónico en capas.</w:t>
              <w:br/>
              <w:t>• Configuración inicial del repositorio y stack base (React, FastAPI, PostgreSQL).</w:t>
              <w:br/>
              <w:t>• Estructuración de base de datos.</w:t>
            </w:r>
          </w:p>
        </w:tc>
      </w:tr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1E3A8A"/>
              </w:rPr>
              <w:t>Fase 03: Front-End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475569"/>
              </w:rPr>
              <w:t>08 de Octubre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• </w:t>
            </w:r>
            <w:r>
              <w:rPr/>
              <w:t>Maquetación UI/UX base y sistema de ruteo.</w:t>
              <w:br/>
              <w:t>• Desarrollo ABM/CRUD visual (Usuarios, Productos, Proveedores, Clientes) [RF-01 al RF-05, RF-08, RF-09, RF-12, RF-13].</w:t>
              <w:br/>
              <w:t>• Interfaces transaccionales de Órdenes de Compra y Pedidos de Venta [RF-10, RF-14].</w:t>
              <w:br/>
              <w:t>• Módulo de pagos y conciliación visual [RF-16 al RF-20].</w:t>
              <w:br/>
              <w:t>• Construcción del Dashboard y gráficos interactivos [RF-21 al RF-29].</w:t>
            </w:r>
          </w:p>
        </w:tc>
      </w:tr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1E3A8A"/>
              </w:rPr>
              <w:t>Fase 04: Back-End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475569"/>
              </w:rPr>
              <w:t>12 de Noviembre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8FAFC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t xml:space="preserve">• </w:t>
            </w:r>
            <w:r>
              <w:rPr/>
              <w:t>Autenticación JWT y roles [RF-01, RF-02].</w:t>
              <w:br/>
              <w:t>• Endpoints REST para gestión de entidades e inventario [RF-03 al RF-07].</w:t>
              <w:br/>
              <w:t>• Algoritmos de presupuestos, facturación y márgenes [RF-11, RF-15, RF-25].</w:t>
              <w:br/>
              <w:t>• Integración con API de MercadoPago [RF-16, RF-17].</w:t>
              <w:br/>
              <w:t>• Procesamiento de tendencias y predicción [RF-22, RF-27].</w:t>
              <w:br/>
              <w:t>• Tareas en segundo plano (Celery) para reportes y notificaciones [RF-28, RF-30].</w:t>
            </w:r>
          </w:p>
        </w:tc>
      </w:tr>
      <w:tr>
        <w:trPr/>
        <w:tc>
          <w:tcPr>
            <w:tcW w:w="3119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1E3A8A"/>
              </w:rPr>
              <w:t>Fase 05: Implementación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>
                <w:b/>
                <w:color w:val="475569"/>
              </w:rPr>
              <w:t>26 de Noviembre</w:t>
            </w:r>
          </w:p>
        </w:tc>
        <w:tc>
          <w:tcPr>
            <w:tcW w:w="3120" w:type="dxa"/>
            <w:tcBorders>
              <w:top w:val="single" w:sz="4" w:space="0" w:color="CBD5E1"/>
              <w:bottom w:val="single" w:sz="4" w:space="0" w:color="CBD5E1"/>
            </w:tcBorders>
            <w:shd w:fill="FFFFFF"/>
          </w:tcPr>
          <w:p>
            <w:pPr>
              <w:pStyle w:val="Normal"/>
              <w:widowControl/>
              <w:bidi w:val="0"/>
              <w:spacing w:lineRule="auto" w:line="276" w:before="0" w:after="200"/>
              <w:jc w:val="left"/>
              <w:rPr/>
            </w:pPr>
            <w:r>
              <w:rPr/>
              <w:br/>
              <w:t xml:space="preserve">• Despliegue en servidor </w:t>
              <w:br/>
              <w:t>• Configuración SSL/HTTPS y Nginx.</w:t>
              <w:br/>
              <w:t>• Testing End-to-End y pruebas de carga concurrente [RNF-04].</w:t>
              <w:br/>
              <w:t>• Habilitación de scripts de backups diarios [RNF-14].</w:t>
            </w:r>
          </w:p>
        </w:tc>
      </w:tr>
    </w:tbl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Arial"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2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Cs w:val="22"/>
        <w:lang w:val="en-US" w:eastAsia="en-US" w:bidi="ar-SA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libri" w:hAnsi="Calibri" w:eastAsia="ＭＳ 明朝" w:cs=""/>
      <w:color w:val="1E293B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link w:val="BodyTex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Neat_Office/6.2.8.2$Windows_x86 LibreOffice_project/</Application>
  <Pages>2</Pages>
  <Words>259</Words>
  <Characters>1477</Characters>
  <CharactersWithSpaces>1718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es-AR</dc:language>
  <cp:lastModifiedBy/>
  <dcterms:modified xsi:type="dcterms:W3CDTF">2026-09-04T19:44:43Z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