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240"/>
        <w:jc w:val="center"/>
        <w:rPr/>
      </w:pPr>
      <w:r>
        <w:rPr>
          <w:rFonts w:ascii="Arial" w:hAnsi="Arial"/>
          <w:b/>
          <w:color w:val="1E3A8A"/>
          <w:sz w:val="36"/>
        </w:rPr>
        <w:t>Plan de Ejecución y Roadmap</w:t>
        <w:br/>
        <w:t>Sistema de Gestión Comercial</w:t>
      </w:r>
    </w:p>
    <w:p>
      <w:pPr>
        <w:pStyle w:val="Normal"/>
        <w:spacing w:before="0" w:after="240"/>
        <w:rPr/>
      </w:pPr>
      <w:r>
        <w:rPr/>
        <w:t>Este documento define el cronograma de ejecución del proyecto, secuenciado en 5 fases principales acorde a la línea de tiempo establecida y enfocado en cumplir los requisitos funcionales mediante etapas cortas y objetivos.</w:t>
      </w:r>
    </w:p>
    <w:tbl>
      <w:tblPr>
        <w:tblW w:w="9359" w:type="dxa"/>
        <w:jc w:val="center"/>
        <w:tblInd w:w="0" w:type="dxa"/>
        <w:tblCellMar>
          <w:top w:w="80" w:type="dxa"/>
          <w:left w:w="100" w:type="dxa"/>
          <w:bottom w:w="80" w:type="dxa"/>
          <w:right w:w="100" w:type="dxa"/>
        </w:tblCellMar>
        <w:tblLook w:firstRow="1" w:noVBand="1" w:lastRow="0" w:firstColumn="1" w:lastColumn="0" w:noHBand="0" w:val="04a0"/>
      </w:tblPr>
      <w:tblGrid>
        <w:gridCol w:w="3119"/>
        <w:gridCol w:w="3120"/>
        <w:gridCol w:w="3120"/>
      </w:tblGrid>
      <w:tr>
        <w:trPr/>
        <w:tc>
          <w:tcPr>
            <w:tcW w:w="3119" w:type="dxa"/>
            <w:tcBorders>
              <w:top w:val="single" w:sz="4" w:space="0" w:color="CBD5E1"/>
              <w:bottom w:val="single" w:sz="4" w:space="0" w:color="CBD5E1"/>
            </w:tcBorders>
            <w:shd w:fill="1E3A8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</w:rPr>
              <w:t>Fecha Límite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1E3A8A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FFFFFF"/>
              </w:rPr>
              <w:t>Etapas Cortas y Tareas Específicas</w:t>
            </w:r>
          </w:p>
        </w:tc>
      </w:tr>
      <w:tr>
        <w:trPr/>
        <w:tc>
          <w:tcPr>
            <w:tcW w:w="3119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1E3A8A"/>
              </w:rPr>
              <w:t>Fase 01: SRS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475569"/>
              </w:rPr>
              <w:t>03 de Septiembre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0" w:after="40"/>
              <w:rPr/>
            </w:pPr>
            <w:r>
              <w:rPr>
                <w:b/>
              </w:rPr>
              <w:t>Etapa 1: Definición Formal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Redacción de requisitos funcionales y no funcionales.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Definición de alcances, usuarios y matriz de trazabilidad.</w:t>
            </w:r>
          </w:p>
        </w:tc>
      </w:tr>
      <w:tr>
        <w:trPr/>
        <w:tc>
          <w:tcPr>
            <w:tcW w:w="3119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1E3A8A"/>
              </w:rPr>
              <w:t>Fase 02: Arquitectura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475569"/>
              </w:rPr>
              <w:t>03 de Septiembre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0" w:after="40"/>
              <w:rPr/>
            </w:pPr>
            <w:r>
              <w:rPr>
                <w:b/>
              </w:rPr>
              <w:t>Etapa 1: Estructura del Proyecto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Definición del patrón arquitectónico en capas.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Configuración inicial del repositorio (React, FastAPI).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Modelado y estructuración inicial de PostgreSQL.</w:t>
            </w:r>
          </w:p>
        </w:tc>
      </w:tr>
      <w:tr>
        <w:trPr/>
        <w:tc>
          <w:tcPr>
            <w:tcW w:w="3119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1E3A8A"/>
              </w:rPr>
              <w:t>Fase 03: Front-End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475569"/>
              </w:rPr>
              <w:t>08 de Octubre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0" w:after="40"/>
              <w:rPr/>
            </w:pPr>
            <w:r>
              <w:rPr>
                <w:b/>
              </w:rPr>
              <w:t>Etapa 1: Base y Autenticación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Setup de React Router, Tailwind y layout principal (Sidebar).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Formulario de Login y Registro de Usuarios [RF-01].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Pantalla de Recuperación de Cuenta [RF-02].</w:t>
            </w:r>
          </w:p>
          <w:p>
            <w:pPr>
              <w:pStyle w:val="Normal"/>
              <w:spacing w:before="160" w:after="40"/>
              <w:rPr/>
            </w:pPr>
            <w:r>
              <w:rPr>
                <w:b/>
              </w:rPr>
              <w:t>Etapa 2: Catálogo e Inventario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Tabla de listado interactiva para Productos [RF-04, RF-05].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Formularios con validaciones para Alta/Edición de Productos [RF-03].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Componentes visuales de historial y alertas de stock [RF-06, RF-07].</w:t>
            </w:r>
          </w:p>
          <w:p>
            <w:pPr>
              <w:pStyle w:val="Normal"/>
              <w:spacing w:before="160" w:after="40"/>
              <w:rPr/>
            </w:pPr>
            <w:r>
              <w:rPr>
                <w:b/>
              </w:rPr>
              <w:t>Etapa 3: Entidades y Compras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Listados y formularios CRUD para Proveedores [RF-08, RF-09].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Listados y formularios CRUD para Clientes [RF-12, RF-13].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Pantalla de generación de Órdenes de Compra con selector múltiple [RF-10].</w:t>
            </w:r>
          </w:p>
          <w:p>
            <w:pPr>
              <w:pStyle w:val="Normal"/>
              <w:spacing w:before="160" w:after="40"/>
              <w:rPr/>
            </w:pPr>
            <w:r>
              <w:rPr>
                <w:b/>
              </w:rPr>
              <w:t>Etapa 4: Ventas y Pagos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Interfaz interactiva para Pedidos de Venta (tipo carrito) [RF-14].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Interfaz para Generación de Presupuestos [RF-11].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Vistas de gestión de pagos y conciliación de facturas [RF-16 al RF-20].</w:t>
            </w:r>
          </w:p>
          <w:p>
            <w:pPr>
              <w:pStyle w:val="Normal"/>
              <w:spacing w:before="160" w:after="40"/>
              <w:rPr/>
            </w:pPr>
            <w:r>
              <w:rPr>
                <w:b/>
              </w:rPr>
              <w:t>Etapa 5: Dashboard y Analítica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Maquetación de tarjetas (KPIs) para ingresos y márgenes [RF-21, RF-25].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Integración de librería de gráficos para tendencias [RF-22].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Tablas de ranking (productos/proveedores) [RF-23, RF-24].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Filtros de fecha globales y botones de exportación [RF-28, RF-29].</w:t>
            </w:r>
          </w:p>
        </w:tc>
      </w:tr>
      <w:tr>
        <w:trPr/>
        <w:tc>
          <w:tcPr>
            <w:tcW w:w="3119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1E3A8A"/>
              </w:rPr>
              <w:t>Fase 04: Back-End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475569"/>
              </w:rPr>
              <w:t>12 de Noviembre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8FAFC"/>
          </w:tcPr>
          <w:p>
            <w:pPr>
              <w:pStyle w:val="Normal"/>
              <w:spacing w:before="0" w:after="40"/>
              <w:rPr/>
            </w:pPr>
            <w:r>
              <w:rPr>
                <w:b/>
              </w:rPr>
              <w:t>Etapa 1: Core y Seguridad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autenticación JWT [RF-01, RF-02].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Endpoints CRUD de Productos y control de inventario [RF-03 al RF-07].</w:t>
            </w:r>
          </w:p>
          <w:p>
            <w:pPr>
              <w:pStyle w:val="Normal"/>
              <w:spacing w:before="160" w:after="40"/>
              <w:rPr/>
            </w:pPr>
            <w:r>
              <w:rPr>
                <w:b/>
              </w:rPr>
              <w:t>Etapa 2: Lógica Transaccional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Endpoints CRUD de Clientes y Proveedores [RF-08, RF-09, RF-12, RF-13].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Lógica de validación para Pedidos de Venta y Compras [RF-10, RF-14].</w:t>
            </w:r>
          </w:p>
          <w:p>
            <w:pPr>
              <w:pStyle w:val="Normal"/>
              <w:spacing w:before="160" w:after="40"/>
              <w:rPr/>
            </w:pPr>
            <w:r>
              <w:rPr>
                <w:b/>
              </w:rPr>
              <w:t>Etapa 3: Facturación y Reportes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Integración con API de MercadoPago y endpoints de conciliación [RF-16 al RF-20].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Algoritmos de cálculo de márgenes, tendencias y predicciones [RF-21 al RF-27].</w:t>
            </w:r>
          </w:p>
          <w:p>
            <w:pPr>
              <w:pStyle w:val="Normal"/>
              <w:spacing w:before="160" w:after="40"/>
              <w:rPr/>
            </w:pPr>
            <w:r>
              <w:rPr>
                <w:b/>
              </w:rPr>
              <w:t>Etapa 4: Tareas Asíncronas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Webhooks y configuración para envío de correos [RF-15, RF-30].</w:t>
            </w:r>
          </w:p>
        </w:tc>
      </w:tr>
      <w:tr>
        <w:trPr/>
        <w:tc>
          <w:tcPr>
            <w:tcW w:w="3119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1E3A8A"/>
              </w:rPr>
              <w:t>Fase 05: Implementación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b/>
                <w:color w:val="475569"/>
              </w:rPr>
              <w:t>26 de Noviembre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fill="FFFFFF"/>
          </w:tcPr>
          <w:p>
            <w:pPr>
              <w:pStyle w:val="Normal"/>
              <w:spacing w:before="0" w:after="40"/>
              <w:rPr/>
            </w:pPr>
            <w:r>
              <w:rPr>
                <w:b/>
              </w:rPr>
              <w:t>Etapa 1: Testing y Despliegue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Despliegue en servidor .</w:t>
            </w:r>
          </w:p>
          <w:p>
            <w:pPr>
              <w:pStyle w:val="Normal"/>
              <w:spacing w:lineRule="auto" w:line="264" w:before="0" w:after="40"/>
              <w:ind w:left="216" w:hanging="0"/>
              <w:rPr/>
            </w:pPr>
            <w:r>
              <w:rPr>
                <w:b/>
                <w:color w:val="475569"/>
              </w:rPr>
              <w:t xml:space="preserve">• </w:t>
            </w:r>
            <w:r>
              <w:rPr>
                <w:sz w:val="19"/>
              </w:rPr>
              <w:t>Testing End-to-End, carga concurrente y backups [RNF-04, RNF-14].</w:t>
            </w:r>
          </w:p>
        </w:tc>
      </w:tr>
    </w:tbl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/>
      <w:color w:val="1E293B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0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Neat_Office/6.2.8.2$Windows_x86 LibreOffice_project/</Application>
  <Pages>3</Pages>
  <Words>417</Words>
  <Characters>2322</Characters>
  <CharactersWithSpaces>2682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es-AR</dc:language>
  <cp:lastModifiedBy/>
  <dcterms:modified xsi:type="dcterms:W3CDTF">2026-09-09T10:39:21Z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