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ESPECIFICACIÓN TÉCNICA  /  BASE DE INTEGRACIÓN</w:t>
      </w:r>
    </w:p>
    <w:p>
      <w:pPr>
        <w:pStyle w:val="Title"/>
      </w:pPr>
      <w:r>
        <w:t>Copiloto</w:t>
      </w:r>
    </w:p>
    <w:p>
      <w:pPr>
        <w:pStyle w:val="Subtitle"/>
      </w:pPr>
      <w:r>
        <w:t>Velocidad y contexto vial con mapas locales</w:t>
      </w:r>
    </w:p>
    <w:p>
      <w:pPr>
        <w:pStyle w:val="Lead"/>
      </w:pPr>
      <w:r>
        <w:t>Firmware para un display de cabina basado en ESP32-S3. Recibe posición y velocidad de un tracker Ruptela, consulta cartografía local y presenta velocidad, calle y límite disponible.</w:t>
      </w:r>
    </w:p>
    <w:p>
      <w:pPr>
        <w:pStyle w:val="Callout"/>
        <w:shd w:fill="EEF5F5"/>
      </w:pPr>
      <w:r>
        <w:t>Estado: desarrollo en consolidación. Base revisada: 6f039ee. Build y pruebas de host verificados; validación integral del equipo final pendiente.</w:t>
      </w:r>
    </w:p>
    <w:p>
      <w:pPr>
        <w:pStyle w:val="Heading1"/>
      </w:pPr>
      <w:r>
        <w:t>Plataforma e interfaces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1E6"/>
          <w:left w:val="single" w:sz="4" w:color="D8E1E6"/>
          <w:bottom w:val="single" w:sz="4" w:color="D8E1E6"/>
          <w:right w:val="single" w:sz="4" w:color="D8E1E6"/>
          <w:insideH w:val="single" w:sz="4" w:color="D8E1E6"/>
          <w:insideV w:val="single" w:sz="4" w:color="D8E1E6"/>
        </w:tblBorders>
      </w:tblPr>
      <w:tblGrid>
        <w:gridCol w:w="2520"/>
        <w:gridCol w:w="6840"/>
      </w:tblGrid>
      <w:tr>
        <w:trPr>
          <w:cantSplit/>
          <w:tblHeader/>
        </w:trPr>
        <w:tc>
          <w:tcPr>
            <w:tcW w:type="dxa" w:w="2520"/>
            <w:vAlign w:val="center"/>
            <w:shd w:fill="E8EEF5"/>
          </w:tcPr>
          <w:p>
            <w:pPr>
              <w:pStyle w:val="TechnicalTable"/>
            </w:pPr>
            <w:r>
              <w:rPr>
                <w:b/>
                <w:color w:val="142E43"/>
              </w:rPr>
              <w:t>Elemento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pStyle w:val="TechnicalTable"/>
            </w:pPr>
            <w:r>
              <w:rPr>
                <w:b/>
                <w:color w:val="142E43"/>
              </w:rPr>
              <w:t>Configuración de la base revisada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Placa objetivo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Waveshare ESP32-S3-Touch-AMOLED-1.75; SKU y revisión física por confirmar.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Ejecución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ESP32-S3; CPU configurada a 240 MHz; FreeRTOS; C/C++.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SDK y UI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ESP-IDF 5.4.4; LVGL 8.4.0; interfaz generada con EEZ y presenter propio.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Pantalla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466 × 466 píxeles; RGB565; puerto QSPI; dos buffers de dibujo DMA.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Entrada del tracker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UART1 RX en GPIO18; sondeo de 9.600 y 115.200 baud. Confirmar modelo, configuración y adaptación eléctrica.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Datos procesados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NMEA con actualización anclada en RMC; posición, velocidad y rumbo. IMEI y señales IO de ignición/GPRS.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Cartografía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Datos derivados de OpenStreetMap; tiles binarios de 0,003° en microSD; consulta local por posición y rumbo.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Almacenamiento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SDMMC de 1 bit y FAT. Caché de tiles en PSRAM: hasta 512 entradas y presupuesto de 2 MiB.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Flash y PSRAM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Flash configurada de 16 MiB; PSRAM octal a 80 MHz, tamaño autodetectado. Capacidad física a verificar por unidad.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Particiones de app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Dos slots de 3 MiB. Imagen compilada: 1.678.384 bytes, 53,4 % de un slot. No implica OTA operativa.</w:t>
            </w:r>
          </w:p>
        </w:tc>
      </w:tr>
    </w:tbl>
    <w:p>
      <w:pPr>
        <w:pStyle w:val="Source"/>
      </w:pPr>
      <w:r>
        <w:t>Valores de software y configuración, no especificaciones eléctricas ni certificaciones del producto terminado. Fuentes: [1], [2].</w:t>
      </w:r>
    </w:p>
    <w:p>
      <w:pPr>
        <w:pStyle w:val="Kicker"/>
        <w:pageBreakBefore/>
      </w:pPr>
      <w:r>
        <w:t>ARQUITECTURA  /  CAPACIDADES</w:t>
      </w:r>
    </w:p>
    <w:p>
      <w:pPr>
        <w:pStyle w:val="Heading1"/>
      </w:pPr>
      <w:r>
        <w:t>Una base modular para extender el producto</w:t>
      </w:r>
    </w:p>
    <w:p>
      <w:pPr/>
      <w:r>
        <w:t>El framing, el estado del vehículo, el matcher y el modelo de UI separan procesamiento de datos, decisiones y presentación. El matcher recibe una fuente de tiles inyectable y mantiene estado explícito, reseteable.</w:t>
      </w:r>
    </w:p>
    <w:p>
      <w:pPr>
        <w:pStyle w:val="Callout"/>
        <w:shd w:fill="EEF5F5"/>
      </w:pPr>
      <w:r>
        <w:t>Flujo actual: UART → framing / parsers → mailbox y cola de señales → estado del vehículo → matching local → modelo de UI → presenter / LVGL.</w:t>
      </w:r>
    </w:p>
    <w:p>
      <w:pPr>
        <w:pStyle w:val="Micro"/>
      </w:pPr>
      <w:r>
        <w:t>La consulta de mapas todavía ocurre en el bucle que publica la UI. La independencia temporal entre velocidad y almacenamiento es un trabajo de integración pendiente.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1E6"/>
          <w:left w:val="single" w:sz="4" w:color="D8E1E6"/>
          <w:bottom w:val="single" w:sz="4" w:color="D8E1E6"/>
          <w:right w:val="single" w:sz="4" w:color="D8E1E6"/>
          <w:insideH w:val="single" w:sz="4" w:color="D8E1E6"/>
          <w:insideV w:val="single" w:sz="4" w:color="D8E1E6"/>
        </w:tblBorders>
      </w:tblPr>
      <w:tblGrid>
        <w:gridCol w:w="2520"/>
        <w:gridCol w:w="6840"/>
      </w:tblGrid>
      <w:tr>
        <w:trPr>
          <w:cantSplit/>
          <w:tblHeader/>
        </w:trPr>
        <w:tc>
          <w:tcPr>
            <w:tcW w:type="dxa" w:w="2520"/>
            <w:vAlign w:val="center"/>
            <w:shd w:fill="E8EEF5"/>
          </w:tcPr>
          <w:p>
            <w:pPr>
              <w:pStyle w:val="TechnicalTable"/>
            </w:pPr>
            <w:r>
              <w:rPr>
                <w:b/>
                <w:color w:val="142E43"/>
              </w:rPr>
              <w:t>Capacidad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pStyle w:val="TechnicalTable"/>
            </w:pPr>
            <w:r>
              <w:rPr>
                <w:b/>
                <w:color w:val="142E43"/>
              </w:rPr>
              <w:t>Situación en la base revisada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HUD local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Integrado: velocidad, calle, límite disponible y alerta visual de exceso.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Edad de datos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Integrado: snapshot monotónico, vencimiento por señal y época de tracker.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Arranque sin SD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Integrado: recepción y UI continúan; reintento inicial de montaje cada 5 s. Extracción/remount posterior pendiente.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Cápsulas de mapas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Lector por rangos y lógica de instalación transaccional probados en host. Activación, transporte y recuperación real pendientes.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Respaldo Wi-Fi / Starlink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Componentes de outbox, permiso y conectividad; piloto separado. Envío completo no integrado al HUD.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Vinculación con teléfono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Contratos y política de pairing probados en host. Transporte BLE y experiencia de app pendientes.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OTA A/B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Política de verificación y autoprueba probada en host. Camino real pendiente; rollback de bootloader deshabilitado.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pStyle w:val="TechnicalTable"/>
            </w:pPr>
            <w:r>
              <w:t>Periféricos opcionales</w:t>
            </w:r>
          </w:p>
        </w:tc>
        <w:tc>
          <w:tcPr>
            <w:tcW w:type="dxa" w:w="6840"/>
            <w:vAlign w:val="center"/>
          </w:tcPr>
          <w:p>
            <w:pPr>
              <w:pStyle w:val="TechnicalTable"/>
            </w:pPr>
            <w:r>
              <w:t>Servicios de placa extraídos. Touch, IMU y audio son opt-in; no se presentan como funciones comerciales activas.</w:t>
            </w:r>
          </w:p>
        </w:tc>
      </w:tr>
    </w:tbl>
    <w:p>
      <w:pPr>
        <w:pStyle w:val="Heading2"/>
      </w:pPr>
      <w:r>
        <w:t>Parámetros iniciales de funcionamiento</w:t>
      </w:r>
    </w:p>
    <w:p>
      <w:r>
        <w:rPr>
          <w:b/>
        </w:rPr>
        <w:t xml:space="preserve">Frescura: </w:t>
      </w:r>
      <w:r>
        <w:t>fix GPS: 3 s; ignición y GPRS: 30 s por señal. Reloj monotónico; son valores de configuración, no precisión temporal medida.</w:t>
      </w:r>
    </w:p>
    <w:p>
      <w:r>
        <w:rPr>
          <w:b/>
        </w:rPr>
        <w:t xml:space="preserve">Alertas: </w:t>
      </w:r>
      <w:r>
        <w:t>histéresis: activa sobre límite +5 km/h y desactiva al bajar a límite +2 km/h; velocidad mínima de evaluación: 5 km/h.</w:t>
      </w:r>
    </w:p>
    <w:p>
      <w:r>
        <w:rPr>
          <w:b/>
        </w:rPr>
        <w:t xml:space="preserve">Presentación: </w:t>
      </w:r>
      <w:r>
        <w:t>retención prevista del último límite: 30 s. La atribución y vigencia de límites requiere corregir los casos de integración señalados en la revisión.</w:t>
      </w:r>
    </w:p>
    <w:p>
      <w:pPr>
        <w:pStyle w:val="Source"/>
      </w:pPr>
      <w:r>
        <w:t>Fuentes: [3], [4], [5]. Componentes implementados no equivalen a funciones integradas y calificadas en placa.</w:t>
      </w:r>
    </w:p>
    <w:p>
      <w:pPr>
        <w:pStyle w:val="Kicker"/>
        <w:pageBreakBefore/>
      </w:pPr>
      <w:r>
        <w:t>VALIDACIÓN  /  INTEGRACIÓN  /  TRAZABILIDAD</w:t>
      </w:r>
    </w:p>
    <w:p>
      <w:pPr>
        <w:pStyle w:val="Heading1"/>
      </w:pPr>
      <w:r>
        <w:t>Evidencia disponible</w:t>
      </w:r>
    </w:p>
    <w:p>
      <w:r>
        <w:rPr>
          <w:b/>
        </w:rPr>
        <w:t xml:space="preserve">Compilación: </w:t>
      </w:r>
      <w:r>
        <w:t>HUD construido con ESP-IDF 5.4.4 desde la base revisada; aproximadamente 47 % del slot de app libre. Ese margen corresponde a flash, no a heap disponible.</w:t>
      </w:r>
    </w:p>
    <w:p>
      <w:r>
        <w:rPr>
          <w:b/>
        </w:rPr>
        <w:t xml:space="preserve">Pruebas de host: </w:t>
      </w:r>
      <w:r>
        <w:t>suites del HUD y del piloto ejecutadas; replays de capturas y trayectorias, equivalencia de matcher/cápsula y pruebas de políticas. El arnés usa ASan/UBSan.</w:t>
      </w:r>
    </w:p>
    <w:p>
      <w:r>
        <w:rPr>
          <w:b/>
        </w:rPr>
        <w:t xml:space="preserve">Alcance de la evidencia: </w:t>
      </w:r>
      <w:r>
        <w:t>valida lógica y resultados sobre los corpus disponibles. No acredita exactitud universal del mapa ni latencia, consumo, memoria dinámica o estabilidad del equipo físico.</w:t>
      </w:r>
    </w:p>
    <w:p>
      <w:pPr>
        <w:pStyle w:val="Heading1"/>
      </w:pPr>
      <w:r>
        <w:t>Condiciones para integrar y evaluar</w:t>
      </w:r>
    </w:p>
    <w:p>
      <w:r>
        <w:rPr>
          <w:b/>
        </w:rPr>
        <w:t xml:space="preserve">Tracker y cableado. </w:t>
      </w:r>
      <w:r>
        <w:t>Confirmar modelo Ruptela, sentencias NMEA/IO, baud, niveles eléctricos y conversor serie. GPIO18 requiere revisar conflictos en la variante de placa con GNSS.</w:t>
      </w:r>
    </w:p>
    <w:p>
      <w:r>
        <w:rPr>
          <w:b/>
        </w:rPr>
        <w:t xml:space="preserve">Mapas. </w:t>
      </w:r>
      <w:r>
        <w:t>Preparar la región y cargar tiles en microSD. La cobertura, los nombres y los límites dependen del dataset instalado. No hay cobertura nacional ni actualización automática comprometidas.</w:t>
      </w:r>
    </w:p>
    <w:p>
      <w:r>
        <w:rPr>
          <w:b/>
        </w:rPr>
        <w:t xml:space="preserve">Equipo final. </w:t>
      </w:r>
      <w:r>
        <w:t>Definir alimentación, protecciones, montaje y tarjeta. No asumir entrada automotriz directa de 12/24 V. Rango térmico, consumo y homologaciones no especificados en esta ficha.</w:t>
      </w:r>
    </w:p>
    <w:p>
      <w:pPr>
        <w:pStyle w:val="Heading1"/>
      </w:pPr>
      <w:r>
        <w:t>Pendientes para calificación operativa</w:t>
      </w:r>
    </w:p>
    <w:p>
      <w:r>
        <w:t>Separar matching de publicación de velocidad; corregir retención/atribución de límites y orden de fixes al cambiar IMEI; completar extracción de SD, invalidación de caché y barrera de lectores. Luego medir bajo carga y ensayar recuperación, cortes de alimentación y funcionamiento prolongado en banco y campo.</w:t>
      </w:r>
    </w:p>
    <w:p>
      <w:pPr/>
      <w:r>
        <w:t>Red, app, actualización de mapas y OTA requieren integración de extremo a extremo. Persistencia del outbox, firma de paquetes y configuración de seguridad de producción permanecen pendientes.</w:t>
      </w:r>
    </w:p>
    <w:p>
      <w:pPr>
        <w:pStyle w:val="Heading2"/>
      </w:pPr>
      <w:r>
        <w:t>Referencias de esta edición</w:t>
      </w:r>
    </w:p>
    <w:p>
      <w:pPr>
        <w:pStyle w:val="Source"/>
      </w:pPr>
      <w:r>
        <w:t>Repositorio Screen-speed, commit 6f039ee; revisión de código y verificación local del 07/09/2026. Rutas relativas a la raíz del repositorio:</w:t>
      </w:r>
    </w:p>
    <w:p>
      <w:pPr>
        <w:pStyle w:val="Source"/>
      </w:pPr>
      <w:r>
        <w:t>[1] esp/Firmware/sdkconfig.defaults; partitions.csv; components/board_waveshare_175/.</w:t>
      </w:r>
    </w:p>
    <w:p>
      <w:pPr>
        <w:pStyle w:val="Source"/>
      </w:pPr>
      <w:r>
        <w:t>[2] esp/Firmware/main/nmea_parser.c; components/map_match/; components/map_store/.</w:t>
      </w:r>
    </w:p>
    <w:p>
      <w:pPr>
        <w:pStyle w:val="Source"/>
      </w:pPr>
      <w:r>
        <w:t>[3] esp/Firmware/main/offline_maps.c; components/vehicle_state/; components/ui_model/.</w:t>
      </w:r>
    </w:p>
    <w:p>
      <w:pPr>
        <w:pStyle w:val="Source"/>
      </w:pPr>
      <w:r>
        <w:t>[4] esp/components/{map_capsule,outbox,pairing,ota_policy}/; esp/Firmware/components/connectivity/.</w:t>
      </w:r>
    </w:p>
    <w:p>
      <w:pPr>
        <w:pStyle w:val="Source"/>
      </w:pPr>
      <w:r>
        <w:t>[5] esp/Firmware/docs/p11-calificacion.md; host_tests/; tools/run_tests.sh. Build de revisión: esp/Firmware/build_review/.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cro"/>
      <w:tabs>
        <w:tab w:pos="9360" w:val="right"/>
      </w:tabs>
    </w:pPr>
    <w:r>
      <w:t>Specsheet técnico  ·  Edición 1.0  ·  07 sep 2026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cro"/>
    </w:pPr>
    <w:r>
      <w:t>COPILOTO  /  FIRMWARE PARA ASISTENCIA AL CONDUCTOR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2034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2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87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42E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2E4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26471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140" w:line="240" w:lineRule="auto"/>
    </w:pPr>
    <w:rPr>
      <w:rFonts w:ascii="Calibri" w:hAnsi="Calibri"/>
      <w:b/>
      <w:color w:val="087E82"/>
      <w:sz w:val="18"/>
    </w:rPr>
  </w:style>
  <w:style w:type="paragraph" w:customStyle="1" w:styleId="Micro">
    <w:name w:val="Micro"/>
    <w:pPr>
      <w:spacing w:before="0" w:after="80" w:line="264" w:lineRule="auto"/>
    </w:pPr>
    <w:rPr>
      <w:rFonts w:ascii="Calibri" w:hAnsi="Calibri"/>
      <w:b w:val="0"/>
      <w:color w:val="526471"/>
      <w:sz w:val="17"/>
    </w:rPr>
  </w:style>
  <w:style w:type="paragraph" w:customStyle="1" w:styleId="TechnicalTable">
    <w:name w:val="TechnicalTable"/>
    <w:pPr>
      <w:spacing w:before="0" w:after="40" w:line="259" w:lineRule="auto"/>
    </w:pPr>
    <w:rPr>
      <w:rFonts w:ascii="Calibri" w:hAnsi="Calibri"/>
      <w:b w:val="0"/>
      <w:color w:val="203440"/>
      <w:sz w:val="19"/>
    </w:rPr>
  </w:style>
  <w:style w:type="paragraph" w:customStyle="1" w:styleId="Lead">
    <w:name w:val="Lead"/>
    <w:pPr>
      <w:spacing w:before="0" w:after="200" w:line="288" w:lineRule="auto"/>
    </w:pPr>
    <w:rPr>
      <w:rFonts w:ascii="Calibri" w:hAnsi="Calibri"/>
      <w:b w:val="0"/>
      <w:color w:val="142E43"/>
      <w:sz w:val="24"/>
    </w:rPr>
  </w:style>
  <w:style w:type="paragraph" w:customStyle="1" w:styleId="SalesLead">
    <w:name w:val="SalesLead"/>
    <w:pPr>
      <w:keepNext/>
      <w:spacing w:before="0" w:after="200" w:line="264" w:lineRule="auto"/>
    </w:pPr>
    <w:rPr>
      <w:rFonts w:ascii="Calibri" w:hAnsi="Calibri"/>
      <w:b/>
      <w:color w:val="142E43"/>
      <w:sz w:val="42"/>
    </w:rPr>
  </w:style>
  <w:style w:type="paragraph" w:customStyle="1" w:styleId="Callout">
    <w:name w:val="Callout"/>
    <w:pPr>
      <w:spacing w:before="160" w:after="160" w:line="276" w:lineRule="auto"/>
    </w:pPr>
    <w:rPr>
      <w:rFonts w:ascii="Calibri" w:hAnsi="Calibri"/>
      <w:b w:val="0"/>
      <w:color w:val="142E43"/>
      <w:sz w:val="21"/>
    </w:rPr>
  </w:style>
  <w:style w:type="paragraph" w:customStyle="1" w:styleId="Source">
    <w:name w:val="Source"/>
    <w:pPr>
      <w:spacing w:before="80" w:after="80" w:line="264" w:lineRule="auto"/>
    </w:pPr>
    <w:rPr>
      <w:rFonts w:ascii="Calibri" w:hAnsi="Calibri"/>
      <w:b w:val="0"/>
      <w:color w:val="52647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Copiloto | Specsheet técnico</dc:title>
  <dc:subject>Specsheet técnico</dc:subject>
  <dc:creator>Copiloto</dc:creator>
  <cp:keywords>Copiloto, firmware, ESP32-S3, Ruptela, mapas offline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