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vAlign w:val="center"/>
          </w:tcPr>
          <w:p>
            <w:pPr>
              <w:jc w:val="center"/>
            </w:pPr>
            <w:r>
              <w:rPr>
                <w:b/>
                <w:bCs/>
                <w:sz w:val="20"/>
                <w:szCs w:val="20"/>
              </w:rPr>
              <w:t xml:space="preserve">CNPS</w:t>
            </w:r>
          </w:p>
        </w:tc>
        <w:tc>
          <w:tcPr>
            <w:tcW w:type="dxa" w:w="4680"/>
            <w:vAlign w:val="center"/>
          </w:tcPr>
          <w:p>
            <w:pPr>
              <w:jc w:val="center"/>
            </w:pPr>
            <w:r>
              <w:rPr>
                <w:b/>
                <w:bCs/>
                <w:sz w:val="22"/>
                <w:szCs w:val="22"/>
              </w:rPr>
              <w:t xml:space="preserve">MODE OPERATOIRE</w:t>
            </w:r>
          </w:p>
        </w:tc>
        <w:tc>
          <w:tcPr>
            <w:tcW w:type="dxa" w:w="2340"/>
            <w:vAlign w:val="center"/>
          </w:tcPr>
          <w:p>
            <w:pPr>
              <w:jc w:val="center"/>
            </w:pPr>
            <w:r>
              <w:rPr>
                <w:b w:val="false"/>
                <w:bCs w:val="false"/>
                <w:sz w:val="16"/>
                <w:szCs w:val="16"/>
              </w:rPr>
              <w:t xml:space="preserve">Réf : PRO-MO-ERC-03
Version : 01
Page : 1 / 9</w:t>
            </w:r>
          </w:p>
        </w:tc>
      </w:tr>
      <w:tr>
        <w:tc>
          <w:tcPr>
            <w:tcW w:type="dxa" w:w="2340"/>
            <w:vAlign w:val="center"/>
          </w:tcPr>
          <w:p>
            <w:pPr>
              <w:jc w:val="left"/>
            </w:pPr>
            <w:r>
              <w:rPr>
                <w:b w:val="false"/>
                <w:bCs w:val="false"/>
                <w:sz w:val="16"/>
                <w:szCs w:val="16"/>
              </w:rPr>
              <w:t xml:space="preserve"/>
            </w:r>
          </w:p>
        </w:tc>
        <w:tc>
          <w:tcPr>
            <w:tcW w:type="dxa" w:w="4680"/>
            <w:vAlign w:val="center"/>
          </w:tcPr>
          <w:p>
            <w:pPr>
              <w:jc w:val="center"/>
            </w:pPr>
            <w:r>
              <w:rPr>
                <w:b/>
                <w:bCs/>
                <w:sz w:val="18"/>
                <w:szCs w:val="18"/>
              </w:rPr>
              <w:t xml:space="preserve">MANUEL D'UTILISATION DE L'APPLICATION E-RECLAMATIONS (PROFIL : MANAGER DE SERVICE / SECTION ACCUEIL RECLAMATIONS)</w:t>
            </w:r>
          </w:p>
        </w:tc>
        <w:tc>
          <w:tcPr>
            <w:tcW w:type="dxa" w:w="2340"/>
            <w:vAlign w:val="center"/>
          </w:tcPr>
          <w:p>
            <w:pPr>
              <w:jc w:val="center"/>
            </w:pPr>
            <w:r>
              <w:rPr>
                <w:b w:val="false"/>
                <w:bCs w:val="false"/>
                <w:sz w:val="16"/>
                <w:szCs w:val="16"/>
              </w:rPr>
              <w:t xml:space="preserve">Réf : PRO-MO-ERC-03
Version : 01
Page : 1 / 9</w:t>
            </w:r>
          </w:p>
        </w:tc>
      </w:tr>
    </w:tbl>
    <w:p>
      <w:pPr>
        <w:spacing w:after="200"/>
      </w:pPr>
    </w:p>
    <w:p>
      <w:pPr>
        <w:spacing w:after="140"/>
      </w:pPr>
      <w:r>
        <w:t xml:space="preserve">Tableau de suivi des modifications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B2A4A" w:val="clear"/>
            <w:vAlign w:val="center"/>
          </w:tcPr>
          <w:p>
            <w:pPr>
              <w:jc w:val="center"/>
            </w:pPr>
            <w:r>
              <w:rPr>
                <w:b/>
                <w:bCs/>
                <w:color w:val="FFFFFF"/>
                <w:sz w:val="16"/>
                <w:szCs w:val="16"/>
              </w:rPr>
              <w:t xml:space="preserve">Date de mise à jour</w:t>
            </w:r>
          </w:p>
        </w:tc>
        <w:tc>
          <w:tcPr>
            <w:tcW w:type="dxa" w:w="2340"/>
            <w:shd w:fill="1B2A4A" w:val="clear"/>
            <w:vAlign w:val="center"/>
          </w:tcPr>
          <w:p>
            <w:pPr>
              <w:jc w:val="center"/>
            </w:pPr>
            <w:r>
              <w:rPr>
                <w:b/>
                <w:bCs/>
                <w:color w:val="FFFFFF"/>
                <w:sz w:val="16"/>
                <w:szCs w:val="16"/>
              </w:rPr>
              <w:t xml:space="preserve">Numéro de version</w:t>
            </w:r>
          </w:p>
        </w:tc>
        <w:tc>
          <w:tcPr>
            <w:tcW w:type="dxa" w:w="2340"/>
            <w:shd w:fill="1B2A4A" w:val="clear"/>
            <w:vAlign w:val="center"/>
          </w:tcPr>
          <w:p>
            <w:pPr>
              <w:jc w:val="center"/>
            </w:pPr>
            <w:r>
              <w:rPr>
                <w:b/>
                <w:bCs/>
                <w:color w:val="FFFFFF"/>
                <w:sz w:val="16"/>
                <w:szCs w:val="16"/>
              </w:rPr>
              <w:t xml:space="preserve">Parties modifiées</w:t>
            </w:r>
          </w:p>
        </w:tc>
        <w:tc>
          <w:tcPr>
            <w:tcW w:type="dxa" w:w="2340"/>
            <w:shd w:fill="1B2A4A" w:val="clear"/>
            <w:vAlign w:val="center"/>
          </w:tcPr>
          <w:p>
            <w:pPr>
              <w:jc w:val="center"/>
            </w:pPr>
            <w:r>
              <w:rPr>
                <w:b/>
                <w:bCs/>
                <w:color w:val="FFFFFF"/>
                <w:sz w:val="16"/>
                <w:szCs w:val="16"/>
              </w:rPr>
              <w:t xml:space="preserve">Nature de la mise à jour</w:t>
            </w:r>
          </w:p>
        </w:tc>
      </w:tr>
      <w:tr>
        <w:tc>
          <w:tcPr>
            <w:tcW w:type="dxa" w:w="2340"/>
            <w:vAlign w:val="center"/>
          </w:tcPr>
          <w:p>
            <w:pPr>
              <w:jc w:val="center"/>
            </w:pPr>
            <w:r>
              <w:rPr>
                <w:b w:val="false"/>
                <w:bCs w:val="false"/>
                <w:sz w:val="16"/>
                <w:szCs w:val="16"/>
              </w:rPr>
              <w:t xml:space="preserve">30/08/2026</w:t>
            </w:r>
          </w:p>
        </w:tc>
        <w:tc>
          <w:tcPr>
            <w:tcW w:type="dxa" w:w="2340"/>
            <w:vAlign w:val="center"/>
          </w:tcPr>
          <w:p>
            <w:pPr>
              <w:jc w:val="center"/>
            </w:pPr>
            <w:r>
              <w:rPr>
                <w:b w:val="false"/>
                <w:bCs w:val="false"/>
                <w:sz w:val="16"/>
                <w:szCs w:val="16"/>
              </w:rPr>
              <w:t xml:space="preserve">01</w:t>
            </w:r>
          </w:p>
        </w:tc>
        <w:tc>
          <w:tcPr>
            <w:tcW w:type="dxa" w:w="2340"/>
            <w:vAlign w:val="center"/>
          </w:tcPr>
          <w:p>
            <w:pPr>
              <w:jc w:val="center"/>
            </w:pPr>
            <w:r>
              <w:rPr>
                <w:b w:val="false"/>
                <w:bCs w:val="false"/>
                <w:sz w:val="16"/>
                <w:szCs w:val="16"/>
              </w:rPr>
              <w:t xml:space="preserve">-</w:t>
            </w:r>
          </w:p>
        </w:tc>
        <w:tc>
          <w:tcPr>
            <w:tcW w:type="dxa" w:w="2340"/>
            <w:vAlign w:val="center"/>
          </w:tcPr>
          <w:p>
            <w:pPr>
              <w:jc w:val="center"/>
            </w:pPr>
            <w:r>
              <w:rPr>
                <w:b w:val="false"/>
                <w:bCs w:val="false"/>
                <w:sz w:val="16"/>
                <w:szCs w:val="16"/>
              </w:rPr>
              <w:t xml:space="preserve">Création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3F4F6" w:val="clear"/>
            <w:vAlign w:val="center"/>
          </w:tcPr>
          <w:p>
            <w:pPr>
              <w:jc w:val="center"/>
            </w:pPr>
            <w:r>
              <w:rPr>
                <w:b/>
                <w:bCs/>
                <w:sz w:val="16"/>
                <w:szCs w:val="16"/>
              </w:rPr>
              <w:t xml:space="preserve">Pilote de processus Institutionnel</w:t>
            </w:r>
          </w:p>
        </w:tc>
        <w:tc>
          <w:tcPr>
            <w:tcW w:type="dxa" w:w="3120"/>
            <w:shd w:fill="F3F4F6" w:val="clear"/>
            <w:vAlign w:val="center"/>
          </w:tcPr>
          <w:p>
            <w:pPr>
              <w:jc w:val="center"/>
            </w:pPr>
            <w:r>
              <w:rPr>
                <w:b/>
                <w:bCs/>
                <w:sz w:val="16"/>
                <w:szCs w:val="16"/>
              </w:rPr>
              <w:t xml:space="preserve">Président du Comité de validation</w:t>
            </w:r>
          </w:p>
        </w:tc>
        <w:tc>
          <w:tcPr>
            <w:tcW w:type="dxa" w:w="3120"/>
            <w:shd w:fill="F3F4F6" w:val="clear"/>
            <w:vAlign w:val="center"/>
          </w:tcPr>
          <w:p>
            <w:pPr>
              <w:jc w:val="center"/>
            </w:pPr>
            <w:r>
              <w:rPr>
                <w:b/>
                <w:bCs/>
                <w:sz w:val="16"/>
                <w:szCs w:val="16"/>
              </w:rPr>
              <w:t xml:space="preserve">Approbateur</w:t>
            </w:r>
          </w:p>
        </w:tc>
      </w:tr>
      <w:tr>
        <w:tc>
          <w:tcPr>
            <w:tcW w:type="dxa" w:w="3120"/>
            <w:vAlign w:val="center"/>
          </w:tcPr>
          <w:p>
            <w:pPr>
              <w:jc w:val="center"/>
            </w:pPr>
            <w:r>
              <w:rPr>
                <w:b w:val="false"/>
                <w:bCs w:val="false"/>
                <w:sz w:val="14"/>
                <w:szCs w:val="14"/>
              </w:rPr>
              <w:t xml:space="preserve">Noms et Fonction   |   Date et signature</w:t>
            </w:r>
          </w:p>
        </w:tc>
        <w:tc>
          <w:tcPr>
            <w:tcW w:type="dxa" w:w="3120"/>
            <w:vAlign w:val="center"/>
          </w:tcPr>
          <w:p>
            <w:pPr>
              <w:jc w:val="center"/>
            </w:pPr>
            <w:r>
              <w:rPr>
                <w:b w:val="false"/>
                <w:bCs w:val="false"/>
                <w:sz w:val="14"/>
                <w:szCs w:val="14"/>
              </w:rPr>
              <w:t xml:space="preserve">Noms et Fonction   |   Date et signature</w:t>
            </w:r>
          </w:p>
        </w:tc>
        <w:tc>
          <w:tcPr>
            <w:tcW w:type="dxa" w:w="3120"/>
            <w:vAlign w:val="center"/>
          </w:tcPr>
          <w:p>
            <w:pPr>
              <w:jc w:val="center"/>
            </w:pPr>
            <w:r>
              <w:rPr>
                <w:b w:val="false"/>
                <w:bCs w:val="false"/>
                <w:sz w:val="14"/>
                <w:szCs w:val="14"/>
              </w:rPr>
              <w:t xml:space="preserve">Noms et Fonction   |   Date et signature</w:t>
            </w:r>
          </w:p>
        </w:tc>
      </w:tr>
      <w:tr>
        <w:tc>
          <w:tcPr>
            <w:tcW w:type="dxa" w:w="3120"/>
          </w:tcPr>
          <w:p/>
          <w:p/>
        </w:tc>
        <w:tc>
          <w:tcPr>
            <w:tcW w:type="dxa" w:w="3120"/>
          </w:tcPr>
          <w:p/>
          <w:p/>
        </w:tc>
        <w:tc>
          <w:tcPr>
            <w:tcW w:type="dxa" w:w="3120"/>
          </w:tcPr>
          <w:p/>
          <w:p/>
        </w:tc>
      </w:tr>
    </w:tbl>
    <w:p>
      <w:r>
        <w:br w:type="page"/>
      </w:r>
    </w:p>
    <w:p>
      <w:pPr>
        <w:spacing w:after="60"/>
        <w:jc w:val="center"/>
      </w:pPr>
      <w:r>
        <w:rPr>
          <w:i/>
          <w:iCs/>
          <w:color w:val="6B7280"/>
        </w:rPr>
        <w:t xml:space="preserve">Processus Gestion des Réclamations</w:t>
      </w:r>
    </w:p>
    <w:p>
      <w:pPr>
        <w:spacing w:after="300"/>
        <w:jc w:val="center"/>
      </w:pPr>
      <w:r>
        <w:rPr>
          <w:i/>
          <w:iCs/>
          <w:color w:val="6B7280"/>
        </w:rPr>
        <w:t xml:space="preserve">Mode Opératoire — Manuel d'Utilisation de l'Application e-Réclamations (Profil : MANAGER DE SERVICE / SECTION ACCUEIL RECLAMATIONS) — version 01</w:t>
      </w:r>
    </w:p>
    <w:p>
      <w:pPr>
        <w:pStyle w:val="Heading1"/>
        <w:spacing w:after="160" w:before="320"/>
      </w:pPr>
      <w:r>
        <w:rPr>
          <w:b/>
          <w:bCs/>
          <w:color w:val="1B2A4A"/>
        </w:rPr>
        <w:t xml:space="preserve">1. Présentation du portail e-Réclamations</w:t>
      </w:r>
    </w:p>
    <w:p>
      <w:pPr>
        <w:pStyle w:val="Heading2"/>
        <w:spacing w:after="120" w:before="240"/>
      </w:pPr>
      <w:r>
        <w:rPr>
          <w:b/>
          <w:bCs/>
          <w:color w:val="F2861D"/>
        </w:rPr>
        <w:t xml:space="preserve">1.1 Présentation</w:t>
      </w:r>
    </w:p>
    <w:p>
      <w:pPr>
        <w:spacing w:after="140"/>
      </w:pPr>
      <w:r>
        <w:t xml:space="preserve">L'application « e-Réclamations » de la CNPS est une application web centralisée de gestion des réclamations des assurés et employeurs. Elle est compatible avec Google Chrome (recommandé), Mozilla Firefox, Microsoft Edge et Safari.</w:t>
      </w:r>
    </w:p>
    <w:p>
      <w:pPr>
        <w:pStyle w:val="Heading2"/>
        <w:spacing w:after="120" w:before="240"/>
      </w:pPr>
      <w:r>
        <w:rPr>
          <w:b/>
          <w:bCs/>
          <w:color w:val="F2861D"/>
        </w:rPr>
        <w:t xml:space="preserve">1.2 Connexion à l'espace agent</w:t>
      </w:r>
    </w:p>
    <w:p>
      <w:pPr>
        <w:pStyle w:val="ListParagraph"/>
        <w:numPr>
          <w:ilvl w:val="0"/>
          <w:numId w:val="2"/>
        </w:numPr>
        <w:spacing w:after="80"/>
      </w:pPr>
      <w:r>
        <w:t xml:space="preserve">Ouvrez votre navigateur et saisissez l'adresse de l'application.</w:t>
      </w:r>
    </w:p>
    <w:p>
      <w:pPr>
        <w:pStyle w:val="ListParagraph"/>
        <w:numPr>
          <w:ilvl w:val="0"/>
          <w:numId w:val="2"/>
        </w:numPr>
        <w:spacing w:after="80"/>
      </w:pPr>
      <w:r>
        <w:t xml:space="preserve">Sur la page d'accueil publique, cliquez sur « Espace agent CNPS » en haut à droite.</w:t>
      </w:r>
    </w:p>
    <w:p>
      <w:pPr>
        <w:pStyle w:val="ListParagraph"/>
        <w:numPr>
          <w:ilvl w:val="0"/>
          <w:numId w:val="2"/>
        </w:numPr>
        <w:spacing w:after="80"/>
      </w:pPr>
      <w:r>
        <w:t xml:space="preserve">Renseignez votre Matricule ou votre email professionnel, ainsi que votre mot de passe.</w:t>
      </w:r>
    </w:p>
    <w:p>
      <w:pPr>
        <w:pStyle w:val="ListParagraph"/>
        <w:numPr>
          <w:ilvl w:val="0"/>
          <w:numId w:val="2"/>
        </w:numPr>
        <w:spacing w:after="80"/>
      </w:pPr>
      <w:r>
        <w:t xml:space="preserve">Cliquez sur « Se connecter ».</w:t>
      </w:r>
    </w:p>
    <w:p>
      <w:pPr>
        <w:pBdr>
          <w:top w:val="single" w:color="D1D5DB" w:sz="4"/>
          <w:bottom w:val="single" w:color="D1D5DB" w:sz="4"/>
          <w:left w:val="single" w:color="D1D5DB" w:sz="4"/>
          <w:right w:val="single" w:color="D1D5DB" w:sz="4"/>
        </w:pBdr>
        <w:spacing w:after="60" w:before="160"/>
        <w:jc w:val="center"/>
      </w:pPr>
      <w:r>
        <w:drawing>
          <wp:inline distT="0" distB="0" distL="0" distR="0">
            <wp:extent cx="53340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943350"/>
                    </a:xfrm>
                    <a:prstGeom prst="rect">
                      <a:avLst/>
                    </a:prstGeom>
                  </pic:spPr>
                </pic:pic>
              </a:graphicData>
            </a:graphic>
          </wp:inline>
        </w:drawing>
      </w:r>
    </w:p>
    <w:p>
      <w:pPr>
        <w:spacing w:after="200"/>
        <w:jc w:val="center"/>
      </w:pPr>
      <w:r>
        <w:rPr>
          <w:i/>
          <w:iCs/>
          <w:color w:val="6B7280"/>
          <w:sz w:val="16"/>
          <w:szCs w:val="16"/>
        </w:rPr>
        <w:t xml:space="preserve">Figure 1 — Page d'accueil publique : cliquez sur « Espace agent CNPS » en haut à droite.</w:t>
      </w:r>
    </w:p>
    <w:p>
      <w:pPr>
        <w:pBdr>
          <w:top w:val="single" w:color="D1D5DB" w:sz="4"/>
          <w:bottom w:val="single" w:color="D1D5DB" w:sz="4"/>
          <w:left w:val="single" w:color="D1D5DB" w:sz="4"/>
          <w:right w:val="single" w:color="D1D5DB" w:sz="4"/>
        </w:pBdr>
        <w:spacing w:after="60" w:before="1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6B7280"/>
          <w:sz w:val="16"/>
          <w:szCs w:val="16"/>
        </w:rPr>
        <w:t xml:space="preserve">Figure 2 — Page de connexion de l'espace agent.</w:t>
      </w:r>
    </w:p>
    <w:p>
      <w:pPr>
        <w:pStyle w:val="Heading2"/>
        <w:spacing w:after="120" w:before="240"/>
      </w:pPr>
      <w:r>
        <w:rPr>
          <w:b/>
          <w:bCs/>
          <w:color w:val="F2861D"/>
        </w:rPr>
        <w:t xml:space="preserve">1.3 Modifier votre mot de passe</w:t>
      </w:r>
    </w:p>
    <w:p>
      <w:pPr>
        <w:pStyle w:val="ListParagraph"/>
        <w:numPr>
          <w:ilvl w:val="0"/>
          <w:numId w:val="3"/>
        </w:numPr>
        <w:spacing w:after="80"/>
      </w:pPr>
      <w:r>
        <w:t xml:space="preserve">Cliquez sur votre nom en bas du menu latéral, puis « Administration &amp; Profil ».</w:t>
      </w:r>
    </w:p>
    <w:p>
      <w:pPr>
        <w:pStyle w:val="ListParagraph"/>
        <w:numPr>
          <w:ilvl w:val="0"/>
          <w:numId w:val="3"/>
        </w:numPr>
        <w:spacing w:after="80"/>
      </w:pPr>
      <w:r>
        <w:t xml:space="preserve">Dans l'onglet « Mon Profil », renseignez ancien mot de passe, nouveau mot de passe et confirmation.</w:t>
      </w:r>
    </w:p>
    <w:p>
      <w:pPr>
        <w:pStyle w:val="ListParagraph"/>
        <w:numPr>
          <w:ilvl w:val="0"/>
          <w:numId w:val="3"/>
        </w:numPr>
        <w:spacing w:after="80"/>
      </w:pPr>
      <w:r>
        <w:t xml:space="preserve">Cliquez sur « Enregistrer », puis reconnectez-vous.</w:t>
      </w:r>
    </w:p>
    <w:p>
      <w:r>
        <w:br w:type="page"/>
      </w:r>
    </w:p>
    <w:p>
      <w:pPr>
        <w:pStyle w:val="Heading1"/>
        <w:spacing w:after="160" w:before="320"/>
      </w:pPr>
      <w:r>
        <w:rPr>
          <w:b/>
          <w:bCs/>
          <w:color w:val="1B2A4A"/>
        </w:rPr>
        <w:t xml:space="preserve">2. Présentation du menu général</w:t>
      </w:r>
    </w:p>
    <w:p>
      <w:pPr>
        <w:spacing w:after="140"/>
      </w:pPr>
      <w:r>
        <w:t xml:space="preserve">En tant que Manager de service/section accueil réclamations, vous supervisez le traitement des réclamations de votre agence. Votre rôle central est de valider ou de retourner les dossiers soumis par les Pilotes de votre agence, une fois leur analyse et leurs actions correctives enregistrées.</w:t>
      </w:r>
    </w:p>
    <w:p>
      <w:pPr>
        <w:spacing w:after="140"/>
      </w:pPr>
      <w:r>
        <w:t xml:space="preserve">Votre menu latéral se présente comme suit :</w:t>
      </w:r>
    </w:p>
    <w:p>
      <w:pPr>
        <w:pStyle w:val="ListParagraph"/>
        <w:numPr>
          <w:ilvl w:val="0"/>
          <w:numId w:val="4"/>
        </w:numPr>
        <w:spacing w:after="80"/>
      </w:pPr>
      <w:r>
        <w:t xml:space="preserve">Tableau de bord : indicateurs de performance de votre agence.</w:t>
      </w:r>
    </w:p>
    <w:p>
      <w:pPr>
        <w:pStyle w:val="ListParagraph"/>
        <w:numPr>
          <w:ilvl w:val="0"/>
          <w:numId w:val="4"/>
        </w:numPr>
        <w:spacing w:after="80"/>
      </w:pPr>
      <w:r>
        <w:t xml:space="preserve">Nouvelle réclamation : saisie directe si besoin.</w:t>
      </w:r>
    </w:p>
    <w:p>
      <w:pPr>
        <w:pStyle w:val="ListParagraph"/>
        <w:numPr>
          <w:ilvl w:val="0"/>
          <w:numId w:val="4"/>
        </w:numPr>
        <w:spacing w:after="80"/>
      </w:pPr>
      <w:r>
        <w:t xml:space="preserve">Base de connaissances : articles d'aide et procédures.</w:t>
      </w:r>
    </w:p>
    <w:p>
      <w:pPr>
        <w:pStyle w:val="ListParagraph"/>
        <w:numPr>
          <w:ilvl w:val="0"/>
          <w:numId w:val="4"/>
        </w:numPr>
        <w:spacing w:after="80"/>
      </w:pPr>
      <w:r>
        <w:t xml:space="preserve">Administration &amp; Profil : vos informations personnelles.</w:t>
      </w:r>
    </w:p>
    <w:p>
      <w:pPr>
        <w:spacing w:after="140"/>
      </w:pPr>
      <w:r>
        <w:t xml:space="preserve">Corbeilles de traitement :</w:t>
      </w:r>
    </w:p>
    <w:p>
      <w:pPr>
        <w:pStyle w:val="ListParagraph"/>
        <w:numPr>
          <w:ilvl w:val="0"/>
          <w:numId w:val="4"/>
        </w:numPr>
        <w:spacing w:after="80"/>
      </w:pPr>
      <w:r>
        <w:t xml:space="preserve">Vue globale</w:t>
      </w:r>
    </w:p>
    <w:p>
      <w:pPr>
        <w:pStyle w:val="ListParagraph"/>
        <w:numPr>
          <w:ilvl w:val="0"/>
          <w:numId w:val="4"/>
        </w:numPr>
        <w:spacing w:after="80"/>
      </w:pPr>
      <w:r>
        <w:t xml:space="preserve">Non affectées</w:t>
      </w:r>
    </w:p>
    <w:p>
      <w:pPr>
        <w:pStyle w:val="ListParagraph"/>
        <w:numPr>
          <w:ilvl w:val="0"/>
          <w:numId w:val="4"/>
        </w:numPr>
        <w:spacing w:after="80"/>
      </w:pPr>
      <w:r>
        <w:t xml:space="preserve">En cours</w:t>
      </w:r>
    </w:p>
    <w:p>
      <w:pPr>
        <w:pStyle w:val="ListParagraph"/>
        <w:numPr>
          <w:ilvl w:val="0"/>
          <w:numId w:val="4"/>
        </w:numPr>
        <w:spacing w:after="80"/>
      </w:pPr>
      <w:r>
        <w:t xml:space="preserve">À clôturer</w:t>
      </w:r>
    </w:p>
    <w:p>
      <w:pPr>
        <w:pStyle w:val="ListParagraph"/>
        <w:numPr>
          <w:ilvl w:val="0"/>
          <w:numId w:val="4"/>
        </w:numPr>
        <w:spacing w:after="80"/>
      </w:pPr>
      <w:r>
        <w:t xml:space="preserve">Résolu</w:t>
      </w:r>
    </w:p>
    <w:p>
      <w:pPr>
        <w:pStyle w:val="ListParagraph"/>
        <w:numPr>
          <w:ilvl w:val="0"/>
          <w:numId w:val="4"/>
        </w:numPr>
        <w:spacing w:after="80"/>
      </w:pPr>
      <w:r>
        <w:t xml:space="preserve">Hors délai</w:t>
      </w:r>
    </w:p>
    <w:p>
      <w:pPr>
        <w:pStyle w:val="ListParagraph"/>
        <w:numPr>
          <w:ilvl w:val="0"/>
          <w:numId w:val="4"/>
        </w:numPr>
        <w:spacing w:after="80"/>
      </w:pPr>
      <w:r>
        <w:t xml:space="preserve">Escaladées</w:t>
      </w:r>
    </w:p>
    <w:p>
      <w:pPr>
        <w:pBdr>
          <w:left w:val="single" w:color="F2861D" w:sz="24" w:space="8"/>
        </w:pBdr>
        <w:shd w:fill="FFF4E8" w:val="clear"/>
        <w:spacing w:after="160" w:before="100"/>
      </w:pPr>
      <w:r>
        <w:rPr>
          <w:i/>
          <w:iCs/>
          <w:color w:val="7A4A0E"/>
        </w:rPr>
        <w:t xml:space="preserve">  La corbeille « À clôturer » est votre priorité quotidienne : elle contient tous les dossiers soumis par les Pilotes en attente de votre décision.</w:t>
      </w:r>
    </w:p>
    <w:p>
      <w:pPr>
        <w:pBdr>
          <w:top w:val="single" w:color="D1D5DB" w:sz="4"/>
          <w:bottom w:val="single" w:color="D1D5DB" w:sz="4"/>
          <w:left w:val="single" w:color="D1D5DB" w:sz="4"/>
          <w:right w:val="single" w:color="D1D5DB" w:sz="4"/>
        </w:pBdr>
        <w:spacing w:after="60" w:before="16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6B7280"/>
          <w:sz w:val="16"/>
          <w:szCs w:val="16"/>
        </w:rPr>
        <w:t xml:space="preserve">Figure 3 — Tableau de bord du Manager : cartes KPI et corbeilles de traitement.</w:t>
      </w:r>
    </w:p>
    <w:p>
      <w:r>
        <w:br w:type="page"/>
      </w:r>
    </w:p>
    <w:p>
      <w:pPr>
        <w:pStyle w:val="Heading1"/>
        <w:spacing w:after="160" w:before="320"/>
      </w:pPr>
      <w:r>
        <w:rPr>
          <w:b/>
          <w:bCs/>
          <w:color w:val="1B2A4A"/>
        </w:rPr>
        <w:t xml:space="preserve">3. Valider ou retourner un dossier</w:t>
      </w:r>
    </w:p>
    <w:p>
      <w:pPr>
        <w:spacing w:after="140"/>
      </w:pPr>
      <w:r>
        <w:t xml:space="preserve">Lorsqu'un Pilote a terminé son analyse et soumis un dossier, celui-ci apparaît dans la corbeille « À clôturer » avec le statut « À Valider ».</w:t>
      </w:r>
    </w:p>
    <w:p>
      <w:pPr>
        <w:pBdr>
          <w:top w:val="single" w:color="D1D5DB" w:sz="4"/>
          <w:bottom w:val="single" w:color="D1D5DB" w:sz="4"/>
          <w:left w:val="single" w:color="D1D5DB" w:sz="4"/>
          <w:right w:val="single" w:color="D1D5DB" w:sz="4"/>
        </w:pBdr>
        <w:spacing w:after="60" w:before="16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6B7280"/>
          <w:sz w:val="16"/>
          <w:szCs w:val="16"/>
        </w:rPr>
        <w:t xml:space="preserve">Figure 4 — Fiche en attente de validation : boutons « Clôturer » et « Retourner ».</w:t>
      </w:r>
    </w:p>
    <w:p>
      <w:pPr>
        <w:pStyle w:val="Heading2"/>
        <w:spacing w:after="120" w:before="240"/>
      </w:pPr>
      <w:r>
        <w:rPr>
          <w:b/>
          <w:bCs/>
          <w:color w:val="F2861D"/>
        </w:rPr>
        <w:t xml:space="preserve">3.1 Procédure</w:t>
      </w:r>
    </w:p>
    <w:p>
      <w:pPr>
        <w:pStyle w:val="ListParagraph"/>
        <w:numPr>
          <w:ilvl w:val="0"/>
          <w:numId w:val="5"/>
        </w:numPr>
        <w:spacing w:after="80"/>
      </w:pPr>
      <w:r>
        <w:t xml:space="preserve">Ouvrez la corbeille « À clôturer » et cliquez sur le dossier à examiner.</w:t>
      </w:r>
    </w:p>
    <w:p>
      <w:pPr>
        <w:pStyle w:val="ListParagraph"/>
        <w:numPr>
          <w:ilvl w:val="0"/>
          <w:numId w:val="5"/>
        </w:numPr>
        <w:spacing w:after="80"/>
      </w:pPr>
      <w:r>
        <w:t xml:space="preserve">Consultez l'onglet Vue d'ensemble (informations client, motif, échéance) puis l'onglet Traitement (analyse et actions réalisées par le Pilote).</w:t>
      </w:r>
    </w:p>
    <w:p>
      <w:pPr>
        <w:pStyle w:val="ListParagraph"/>
        <w:numPr>
          <w:ilvl w:val="0"/>
          <w:numId w:val="5"/>
        </w:numPr>
        <w:spacing w:after="80"/>
      </w:pPr>
      <w:r>
        <w:t xml:space="preserve">Si le traitement est satisfaisant, cliquez sur « Clôturer » : le dossier passe au statut Résolu.</w:t>
      </w:r>
    </w:p>
    <w:p>
      <w:pPr>
        <w:pStyle w:val="ListParagraph"/>
        <w:numPr>
          <w:ilvl w:val="0"/>
          <w:numId w:val="5"/>
        </w:numPr>
        <w:spacing w:after="80"/>
      </w:pPr>
      <w:r>
        <w:t xml:space="preserve">Si le traitement est incomplet ou incorrect, cliquez sur « Retourner » et indiquez le motif du retour : le dossier repasse chez le Pilote pour complément.</w:t>
      </w:r>
    </w:p>
    <w:p>
      <w:pPr>
        <w:pBdr>
          <w:left w:val="single" w:color="F2861D" w:sz="24" w:space="8"/>
        </w:pBdr>
        <w:shd w:fill="FFF4E8" w:val="clear"/>
        <w:spacing w:after="160" w:before="100"/>
      </w:pPr>
      <w:r>
        <w:rPr>
          <w:i/>
          <w:iCs/>
          <w:color w:val="7A4A0E"/>
        </w:rPr>
        <w:t xml:space="preserve">  Un dossier ne peut être validé ou retourné que par un Manager ou un Superviseur ; un Manager n'intervient que sur les dossiers de sa propre agence, alors qu'un Superviseur peut intervenir sur toutes les agences.</w:t>
      </w:r>
    </w:p>
    <w:p>
      <w:r>
        <w:br w:type="page"/>
      </w:r>
    </w:p>
    <w:p>
      <w:pPr>
        <w:pStyle w:val="Heading1"/>
        <w:spacing w:after="160" w:before="320"/>
      </w:pPr>
      <w:r>
        <w:rPr>
          <w:b/>
          <w:bCs/>
          <w:color w:val="1B2A4A"/>
        </w:rPr>
        <w:t xml:space="preserve">4. Suivi et pilotage de l'agence</w:t>
      </w:r>
    </w:p>
    <w:p>
      <w:pPr>
        <w:spacing w:after="140"/>
      </w:pPr>
      <w:r>
        <w:t xml:space="preserve">Le tableau de bord vous donne une vision synthétique de l'activité de votre agence :</w:t>
      </w:r>
    </w:p>
    <w:p>
      <w:pPr>
        <w:pStyle w:val="ListParagraph"/>
        <w:numPr>
          <w:ilvl w:val="0"/>
          <w:numId w:val="4"/>
        </w:numPr>
        <w:spacing w:after="80"/>
      </w:pPr>
      <w:r>
        <w:t xml:space="preserve">Cartes KPI : dossiers non affectés, en cours, à clôturer, résolus, hors délai.</w:t>
      </w:r>
    </w:p>
    <w:p>
      <w:pPr>
        <w:pStyle w:val="ListParagraph"/>
        <w:numPr>
          <w:ilvl w:val="0"/>
          <w:numId w:val="4"/>
        </w:numPr>
        <w:spacing w:after="80"/>
      </w:pPr>
      <w:r>
        <w:t xml:space="preserve">Délai moyen de traitement, taux de réclamations traitées et taux traitées dans les délais, comparés à l'objectif SLA en vigueur (90 % par défaut).</w:t>
      </w:r>
    </w:p>
    <w:p>
      <w:pPr>
        <w:pStyle w:val="ListParagraph"/>
        <w:numPr>
          <w:ilvl w:val="0"/>
          <w:numId w:val="4"/>
        </w:numPr>
        <w:spacing w:after="80"/>
      </w:pPr>
      <w:r>
        <w:t xml:space="preserve">Répartition par mode de saisine, par type de client et top 5 des motifs de réclamation.</w:t>
      </w:r>
    </w:p>
    <w:p>
      <w:pPr>
        <w:spacing w:after="140"/>
      </w:pPr>
      <w:r>
        <w:t xml:space="preserve">Utilisez les filtres de recherche (numéro de ticket, client, statut, processus) sur chaque corbeille pour cibler rapidement les dossiers à traiter en priorité, notamment ceux en « Hors délai ».</w:t>
      </w:r>
    </w:p>
    <w:p>
      <w:r>
        <w:br w:type="page"/>
      </w:r>
    </w:p>
    <w:p>
      <w:pPr>
        <w:pStyle w:val="Heading1"/>
        <w:spacing w:after="160" w:before="320"/>
      </w:pPr>
      <w:r>
        <w:rPr>
          <w:b/>
          <w:bCs/>
          <w:color w:val="1B2A4A"/>
        </w:rPr>
        <w:t xml:space="preserve">5. Notifications et Base de connaissances</w:t>
      </w:r>
    </w:p>
    <w:p>
      <w:pPr>
        <w:pStyle w:val="Heading2"/>
        <w:spacing w:after="120" w:before="240"/>
      </w:pPr>
      <w:r>
        <w:rPr>
          <w:b/>
          <w:bCs/>
          <w:color w:val="F2861D"/>
        </w:rPr>
        <w:t xml:space="preserve">5.1 Centre de notifications</w:t>
      </w:r>
    </w:p>
    <w:p>
      <w:pPr>
        <w:spacing w:after="140"/>
      </w:pPr>
      <w:r>
        <w:t xml:space="preserve">La cloche en haut de l'écran vous alerte lorsqu'un dossier est soumis pour validation, ou lorsqu'un pilote ajoute un commentaire sur un dossier escaladé.</w:t>
      </w:r>
    </w:p>
    <w:p>
      <w:pPr>
        <w:pStyle w:val="Heading2"/>
        <w:spacing w:after="120" w:before="240"/>
      </w:pPr>
      <w:r>
        <w:rPr>
          <w:b/>
          <w:bCs/>
          <w:color w:val="F2861D"/>
        </w:rPr>
        <w:t xml:space="preserve">5.2 Base de connaissances</w:t>
      </w:r>
    </w:p>
    <w:p>
      <w:pPr>
        <w:spacing w:after="140"/>
      </w:pPr>
      <w:r>
        <w:t xml:space="preserve">Consultez la Base de connaissances pour vérifier la conformité du traitement d'un Pilote avant de valider un dossier complexe.</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4"/>
        <w:szCs w:val="14"/>
      </w:rPr>
      <w:t xml:space="preserve">CNPS Côte d'Ivoire — Guide Utilisateur e-Réclamations — Page </w:t>
    </w:r>
    <w:r>
      <w:rPr>
        <w:color w:val="6B7280"/>
        <w:sz w:val="14"/>
        <w:szCs w:val="14"/>
      </w:rPr>
      <w:fldChar w:fldCharType="begin"/>
      <w:instrText xml:space="preserve">PAGE</w:instrText>
      <w:fldChar w:fldCharType="separate"/>
      <w:fldChar w:fldCharType="end"/>
    </w:r>
    <w:r>
      <w:rPr>
        <w:color w:val="6B7280"/>
        <w:sz w:val="14"/>
        <w:szCs w:val="14"/>
      </w:rPr>
      <w:t xml:space="preserve"> / </w:t>
    </w:r>
    <w:r>
      <w:rPr>
        <w:color w:val="6B72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4"/>
        <w:szCs w:val="14"/>
      </w:rPr>
      <w:t xml:space="preserve">PRO-MO-ERC-03 —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60" w:hanging="260"/>
      </w:pPr>
    </w:lvl>
  </w:abstractNum>
  <w:abstractNum w:abstractNumId="3" w15:restartNumberingAfterBreak="0">
    <w:multiLevelType w:val="hybridMultilevel"/>
    <w:lvl w:ilvl="0" w15:tentative="1">
      <w:start w:val="1"/>
      <w:numFmt w:val="decimal"/>
      <w:lvlText w:val="%1."/>
      <w:lvlJc w:val="left"/>
      <w:pPr>
        <w:ind w:left="480" w:hanging="300"/>
      </w:pPr>
    </w:lvl>
    <w:lvl w:ilvl="1" w15:tentative="1">
      <w:start w:val="1"/>
      <w:numFmt w:val="lowerLetter"/>
      <w:lvlText w:val="%2)"/>
      <w:lvlJc w:val="left"/>
      <w:pPr>
        <w:ind w:left="960" w:hanging="260"/>
      </w:pPr>
    </w:lvl>
  </w:abstractNum>
  <w:abstractNum w:abstractNumId="4" w15:restartNumberingAfterBreak="0">
    <w:multiLevelType w:val="hybridMultilevel"/>
    <w:lvl w:ilvl="0" w15:tentative="1">
      <w:start w:val="1"/>
      <w:numFmt w:val="decimal"/>
      <w:lvlText w:val="%1."/>
      <w:lvlJc w:val="left"/>
      <w:pPr>
        <w:ind w:left="480" w:hanging="300"/>
      </w:pPr>
    </w:lvl>
    <w:lvl w:ilvl="1" w15:tentative="1">
      <w:start w:val="1"/>
      <w:numFmt w:val="lowerLetter"/>
      <w:lvlText w:val="%2)"/>
      <w:lvlJc w:val="left"/>
      <w:pPr>
        <w:ind w:left="960" w:hanging="260"/>
      </w:pPr>
    </w:lvl>
  </w:abstractNum>
  <w:abstractNum w:abstractNumId="5" w15:restartNumberingAfterBreak="0">
    <w:multiLevelType w:val="hybridMultilevel"/>
    <w:lvl w:ilvl="0" w15:tentative="1">
      <w:start w:val="1"/>
      <w:numFmt w:val="decimal"/>
      <w:lvlText w:val="%1."/>
      <w:lvlJc w:val="left"/>
      <w:pPr>
        <w:ind w:left="480" w:hanging="300"/>
      </w:pPr>
    </w:lvl>
    <w:lvl w:ilvl="1" w15:tentative="1">
      <w:start w:val="1"/>
      <w:numFmt w:val="lowerLetter"/>
      <w:lvlText w:val="%2)"/>
      <w:lvlJc w:val="left"/>
      <w:pPr>
        <w:ind w:left="960" w:hanging="2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c6a0b48070f01613909bfcc1763dd565f4d6507.png"/><Relationship Id="rId10" Type="http://schemas.openxmlformats.org/officeDocument/2006/relationships/image" Target="media/1b19fc17028ebdcbf6d6db8ccb27ee862be91172.png"/><Relationship Id="rId11" Type="http://schemas.openxmlformats.org/officeDocument/2006/relationships/image" Target="media/67fcac73707bced4bde1c836f367e86317eacfd5.png"/><Relationship Id="rId12" Type="http://schemas.openxmlformats.org/officeDocument/2006/relationships/image" Target="media/8406cea2cb7e2e6f1446ce027ce7522d9dbb8c0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2026-08-30T16:32:17.217Z</dcterms:created>
  <dcterms:modified xsi:type="dcterms:W3CDTF">2026-08-30T16:32:17.258Z</dcterms:modified>
</cp:coreProperties>
</file>

<file path=docProps/custom.xml><?xml version="1.0" encoding="utf-8"?>
<Properties xmlns="http://schemas.openxmlformats.org/officeDocument/2006/custom-properties" xmlns:vt="http://schemas.openxmlformats.org/officeDocument/2006/docPropsVTypes"/>
</file>