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vAlign w:val="center"/>
          </w:tcPr>
          <w:p>
            <w:pPr>
              <w:jc w:val="center"/>
            </w:pPr>
            <w:r>
              <w:rPr>
                <w:b/>
                <w:bCs/>
                <w:sz w:val="20"/>
                <w:szCs w:val="20"/>
              </w:rPr>
              <w:t xml:space="preserve">CNPS</w:t>
            </w:r>
          </w:p>
        </w:tc>
        <w:tc>
          <w:tcPr>
            <w:tcW w:type="dxa" w:w="4680"/>
            <w:vAlign w:val="center"/>
          </w:tcPr>
          <w:p>
            <w:pPr>
              <w:jc w:val="center"/>
            </w:pPr>
            <w:r>
              <w:rPr>
                <w:b/>
                <w:bCs/>
                <w:sz w:val="22"/>
                <w:szCs w:val="22"/>
              </w:rPr>
              <w:t xml:space="preserve">MODE OPERATOIRE</w:t>
            </w:r>
          </w:p>
        </w:tc>
        <w:tc>
          <w:tcPr>
            <w:tcW w:type="dxa" w:w="2340"/>
            <w:vAlign w:val="center"/>
          </w:tcPr>
          <w:p>
            <w:pPr>
              <w:jc w:val="center"/>
            </w:pPr>
            <w:r>
              <w:rPr>
                <w:b w:val="false"/>
                <w:bCs w:val="false"/>
                <w:sz w:val="16"/>
                <w:szCs w:val="16"/>
              </w:rPr>
              <w:t xml:space="preserve">Réf : PRO-MO-ERC-04
Version : 01
Page : 1 / 9</w:t>
            </w:r>
          </w:p>
        </w:tc>
      </w:tr>
      <w:tr>
        <w:tc>
          <w:tcPr>
            <w:tcW w:type="dxa" w:w="2340"/>
            <w:vAlign w:val="center"/>
          </w:tcPr>
          <w:p>
            <w:pPr>
              <w:jc w:val="left"/>
            </w:pPr>
            <w:r>
              <w:rPr>
                <w:b w:val="false"/>
                <w:bCs w:val="false"/>
                <w:sz w:val="16"/>
                <w:szCs w:val="16"/>
              </w:rPr>
              <w:t xml:space="preserve"/>
            </w:r>
          </w:p>
        </w:tc>
        <w:tc>
          <w:tcPr>
            <w:tcW w:type="dxa" w:w="4680"/>
            <w:vAlign w:val="center"/>
          </w:tcPr>
          <w:p>
            <w:pPr>
              <w:jc w:val="center"/>
            </w:pPr>
            <w:r>
              <w:rPr>
                <w:b/>
                <w:bCs/>
                <w:sz w:val="18"/>
                <w:szCs w:val="18"/>
              </w:rPr>
              <w:t xml:space="preserve">MANUEL D'UTILISATION DE L'APPLICATION E-RECLAMATIONS (PROFIL : SUPERVISEUR)</w:t>
            </w:r>
          </w:p>
        </w:tc>
        <w:tc>
          <w:tcPr>
            <w:tcW w:type="dxa" w:w="2340"/>
            <w:vAlign w:val="center"/>
          </w:tcPr>
          <w:p>
            <w:pPr>
              <w:jc w:val="center"/>
            </w:pPr>
            <w:r>
              <w:rPr>
                <w:b w:val="false"/>
                <w:bCs w:val="false"/>
                <w:sz w:val="16"/>
                <w:szCs w:val="16"/>
              </w:rPr>
              <w:t xml:space="preserve">Réf : PRO-MO-ERC-04
Version : 01
Page : 1 / 9</w:t>
            </w:r>
          </w:p>
        </w:tc>
      </w:tr>
    </w:tbl>
    <w:p>
      <w:pPr>
        <w:spacing w:after="200"/>
      </w:pPr>
    </w:p>
    <w:p>
      <w:pPr>
        <w:spacing w:after="140"/>
      </w:pPr>
      <w:r>
        <w:t xml:space="preserve">Tableau de suivi des modifications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B2A4A" w:val="clear"/>
            <w:vAlign w:val="center"/>
          </w:tcPr>
          <w:p>
            <w:pPr>
              <w:jc w:val="center"/>
            </w:pPr>
            <w:r>
              <w:rPr>
                <w:b/>
                <w:bCs/>
                <w:color w:val="FFFFFF"/>
                <w:sz w:val="16"/>
                <w:szCs w:val="16"/>
              </w:rPr>
              <w:t xml:space="preserve">Date de mise à jour</w:t>
            </w:r>
          </w:p>
        </w:tc>
        <w:tc>
          <w:tcPr>
            <w:tcW w:type="dxa" w:w="2340"/>
            <w:shd w:fill="1B2A4A" w:val="clear"/>
            <w:vAlign w:val="center"/>
          </w:tcPr>
          <w:p>
            <w:pPr>
              <w:jc w:val="center"/>
            </w:pPr>
            <w:r>
              <w:rPr>
                <w:b/>
                <w:bCs/>
                <w:color w:val="FFFFFF"/>
                <w:sz w:val="16"/>
                <w:szCs w:val="16"/>
              </w:rPr>
              <w:t xml:space="preserve">Numéro de version</w:t>
            </w:r>
          </w:p>
        </w:tc>
        <w:tc>
          <w:tcPr>
            <w:tcW w:type="dxa" w:w="2340"/>
            <w:shd w:fill="1B2A4A" w:val="clear"/>
            <w:vAlign w:val="center"/>
          </w:tcPr>
          <w:p>
            <w:pPr>
              <w:jc w:val="center"/>
            </w:pPr>
            <w:r>
              <w:rPr>
                <w:b/>
                <w:bCs/>
                <w:color w:val="FFFFFF"/>
                <w:sz w:val="16"/>
                <w:szCs w:val="16"/>
              </w:rPr>
              <w:t xml:space="preserve">Parties modifiées</w:t>
            </w:r>
          </w:p>
        </w:tc>
        <w:tc>
          <w:tcPr>
            <w:tcW w:type="dxa" w:w="2340"/>
            <w:shd w:fill="1B2A4A" w:val="clear"/>
            <w:vAlign w:val="center"/>
          </w:tcPr>
          <w:p>
            <w:pPr>
              <w:jc w:val="center"/>
            </w:pPr>
            <w:r>
              <w:rPr>
                <w:b/>
                <w:bCs/>
                <w:color w:val="FFFFFF"/>
                <w:sz w:val="16"/>
                <w:szCs w:val="16"/>
              </w:rPr>
              <w:t xml:space="preserve">Nature de la mise à jour</w:t>
            </w:r>
          </w:p>
        </w:tc>
      </w:tr>
      <w:tr>
        <w:tc>
          <w:tcPr>
            <w:tcW w:type="dxa" w:w="2340"/>
            <w:vAlign w:val="center"/>
          </w:tcPr>
          <w:p>
            <w:pPr>
              <w:jc w:val="center"/>
            </w:pPr>
            <w:r>
              <w:rPr>
                <w:b w:val="false"/>
                <w:bCs w:val="false"/>
                <w:sz w:val="16"/>
                <w:szCs w:val="16"/>
              </w:rPr>
              <w:t xml:space="preserve">30/08/2026</w:t>
            </w:r>
          </w:p>
        </w:tc>
        <w:tc>
          <w:tcPr>
            <w:tcW w:type="dxa" w:w="2340"/>
            <w:vAlign w:val="center"/>
          </w:tcPr>
          <w:p>
            <w:pPr>
              <w:jc w:val="center"/>
            </w:pPr>
            <w:r>
              <w:rPr>
                <w:b w:val="false"/>
                <w:bCs w:val="false"/>
                <w:sz w:val="16"/>
                <w:szCs w:val="16"/>
              </w:rPr>
              <w:t xml:space="preserve">01</w:t>
            </w:r>
          </w:p>
        </w:tc>
        <w:tc>
          <w:tcPr>
            <w:tcW w:type="dxa" w:w="2340"/>
            <w:vAlign w:val="center"/>
          </w:tcPr>
          <w:p>
            <w:pPr>
              <w:jc w:val="center"/>
            </w:pPr>
            <w:r>
              <w:rPr>
                <w:b w:val="false"/>
                <w:bCs w:val="false"/>
                <w:sz w:val="16"/>
                <w:szCs w:val="16"/>
              </w:rPr>
              <w:t xml:space="preserve">-</w:t>
            </w:r>
          </w:p>
        </w:tc>
        <w:tc>
          <w:tcPr>
            <w:tcW w:type="dxa" w:w="2340"/>
            <w:vAlign w:val="center"/>
          </w:tcPr>
          <w:p>
            <w:pPr>
              <w:jc w:val="center"/>
            </w:pPr>
            <w:r>
              <w:rPr>
                <w:b w:val="false"/>
                <w:bCs w:val="false"/>
                <w:sz w:val="16"/>
                <w:szCs w:val="16"/>
              </w:rPr>
              <w:t xml:space="preserve">Création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3F4F6" w:val="clear"/>
            <w:vAlign w:val="center"/>
          </w:tcPr>
          <w:p>
            <w:pPr>
              <w:jc w:val="center"/>
            </w:pPr>
            <w:r>
              <w:rPr>
                <w:b/>
                <w:bCs/>
                <w:sz w:val="16"/>
                <w:szCs w:val="16"/>
              </w:rPr>
              <w:t xml:space="preserve">Pilote de processus Institutionnel</w:t>
            </w:r>
          </w:p>
        </w:tc>
        <w:tc>
          <w:tcPr>
            <w:tcW w:type="dxa" w:w="3120"/>
            <w:shd w:fill="F3F4F6" w:val="clear"/>
            <w:vAlign w:val="center"/>
          </w:tcPr>
          <w:p>
            <w:pPr>
              <w:jc w:val="center"/>
            </w:pPr>
            <w:r>
              <w:rPr>
                <w:b/>
                <w:bCs/>
                <w:sz w:val="16"/>
                <w:szCs w:val="16"/>
              </w:rPr>
              <w:t xml:space="preserve">Président du Comité de validation</w:t>
            </w:r>
          </w:p>
        </w:tc>
        <w:tc>
          <w:tcPr>
            <w:tcW w:type="dxa" w:w="3120"/>
            <w:shd w:fill="F3F4F6" w:val="clear"/>
            <w:vAlign w:val="center"/>
          </w:tcPr>
          <w:p>
            <w:pPr>
              <w:jc w:val="center"/>
            </w:pPr>
            <w:r>
              <w:rPr>
                <w:b/>
                <w:bCs/>
                <w:sz w:val="16"/>
                <w:szCs w:val="16"/>
              </w:rPr>
              <w:t xml:space="preserve">Approbateur</w:t>
            </w:r>
          </w:p>
        </w:tc>
      </w:tr>
      <w:tr>
        <w:tc>
          <w:tcPr>
            <w:tcW w:type="dxa" w:w="3120"/>
            <w:vAlign w:val="center"/>
          </w:tcPr>
          <w:p>
            <w:pPr>
              <w:jc w:val="center"/>
            </w:pPr>
            <w:r>
              <w:rPr>
                <w:b w:val="false"/>
                <w:bCs w:val="false"/>
                <w:sz w:val="14"/>
                <w:szCs w:val="14"/>
              </w:rPr>
              <w:t xml:space="preserve">Noms et Fonction   |   Date et signature</w:t>
            </w:r>
          </w:p>
        </w:tc>
        <w:tc>
          <w:tcPr>
            <w:tcW w:type="dxa" w:w="3120"/>
            <w:vAlign w:val="center"/>
          </w:tcPr>
          <w:p>
            <w:pPr>
              <w:jc w:val="center"/>
            </w:pPr>
            <w:r>
              <w:rPr>
                <w:b w:val="false"/>
                <w:bCs w:val="false"/>
                <w:sz w:val="14"/>
                <w:szCs w:val="14"/>
              </w:rPr>
              <w:t xml:space="preserve">Noms et Fonction   |   Date et signature</w:t>
            </w:r>
          </w:p>
        </w:tc>
        <w:tc>
          <w:tcPr>
            <w:tcW w:type="dxa" w:w="3120"/>
            <w:vAlign w:val="center"/>
          </w:tcPr>
          <w:p>
            <w:pPr>
              <w:jc w:val="center"/>
            </w:pPr>
            <w:r>
              <w:rPr>
                <w:b w:val="false"/>
                <w:bCs w:val="false"/>
                <w:sz w:val="14"/>
                <w:szCs w:val="14"/>
              </w:rPr>
              <w:t xml:space="preserve">Noms et Fonction   |   Date et signature</w:t>
            </w:r>
          </w:p>
        </w:tc>
      </w:tr>
      <w:tr>
        <w:tc>
          <w:tcPr>
            <w:tcW w:type="dxa" w:w="3120"/>
          </w:tcPr>
          <w:p/>
          <w:p/>
        </w:tc>
        <w:tc>
          <w:tcPr>
            <w:tcW w:type="dxa" w:w="3120"/>
          </w:tcPr>
          <w:p/>
          <w:p/>
        </w:tc>
        <w:tc>
          <w:tcPr>
            <w:tcW w:type="dxa" w:w="3120"/>
          </w:tcPr>
          <w:p/>
          <w:p/>
        </w:tc>
      </w:tr>
    </w:tbl>
    <w:p>
      <w:r>
        <w:br w:type="page"/>
      </w:r>
    </w:p>
    <w:p>
      <w:pPr>
        <w:spacing w:after="60"/>
        <w:jc w:val="center"/>
      </w:pPr>
      <w:r>
        <w:rPr>
          <w:i/>
          <w:iCs/>
          <w:color w:val="6B7280"/>
        </w:rPr>
        <w:t xml:space="preserve">Processus Gestion des Réclamations</w:t>
      </w:r>
    </w:p>
    <w:p>
      <w:pPr>
        <w:spacing w:after="300"/>
        <w:jc w:val="center"/>
      </w:pPr>
      <w:r>
        <w:rPr>
          <w:i/>
          <w:iCs/>
          <w:color w:val="6B7280"/>
        </w:rPr>
        <w:t xml:space="preserve">Mode Opératoire — Manuel d'Utilisation de l'Application e-Réclamations (Profil : SUPERVISEUR) — version 01</w:t>
      </w:r>
    </w:p>
    <w:p>
      <w:pPr>
        <w:pStyle w:val="Heading1"/>
        <w:spacing w:after="160" w:before="320"/>
      </w:pPr>
      <w:r>
        <w:rPr>
          <w:b/>
          <w:bCs/>
          <w:color w:val="1B2A4A"/>
        </w:rPr>
        <w:t xml:space="preserve">1. Présentation du portail e-Réclamations</w:t>
      </w:r>
    </w:p>
    <w:p>
      <w:pPr>
        <w:pStyle w:val="Heading2"/>
        <w:spacing w:after="120" w:before="240"/>
      </w:pPr>
      <w:r>
        <w:rPr>
          <w:b/>
          <w:bCs/>
          <w:color w:val="F2861D"/>
        </w:rPr>
        <w:t xml:space="preserve">1.1 Présentation</w:t>
      </w:r>
    </w:p>
    <w:p>
      <w:pPr>
        <w:spacing w:after="140"/>
      </w:pPr>
      <w:r>
        <w:t xml:space="preserve">L'application « e-Réclamations » de la CNPS est une application web centralisée de gestion des réclamations des assurés et employeurs. Elle est compatible avec Google Chrome (recommandé), Mozilla Firefox, Microsoft Edge et Safari.</w:t>
      </w:r>
    </w:p>
    <w:p>
      <w:pPr>
        <w:pStyle w:val="Heading2"/>
        <w:spacing w:after="120" w:before="240"/>
      </w:pPr>
      <w:r>
        <w:rPr>
          <w:b/>
          <w:bCs/>
          <w:color w:val="F2861D"/>
        </w:rPr>
        <w:t xml:space="preserve">1.2 Connexion à l'espace agent</w:t>
      </w:r>
    </w:p>
    <w:p>
      <w:pPr>
        <w:pStyle w:val="ListParagraph"/>
        <w:numPr>
          <w:ilvl w:val="0"/>
          <w:numId w:val="2"/>
        </w:numPr>
        <w:spacing w:after="80"/>
      </w:pPr>
      <w:r>
        <w:t xml:space="preserve">Ouvrez votre navigateur et saisissez l'adresse de l'application.</w:t>
      </w:r>
    </w:p>
    <w:p>
      <w:pPr>
        <w:pStyle w:val="ListParagraph"/>
        <w:numPr>
          <w:ilvl w:val="0"/>
          <w:numId w:val="2"/>
        </w:numPr>
        <w:spacing w:after="80"/>
      </w:pPr>
      <w:r>
        <w:t xml:space="preserve">Sur la page d'accueil publique, cliquez sur « Espace agent CNPS » en haut à droite.</w:t>
      </w:r>
    </w:p>
    <w:p>
      <w:pPr>
        <w:pStyle w:val="ListParagraph"/>
        <w:numPr>
          <w:ilvl w:val="0"/>
          <w:numId w:val="2"/>
        </w:numPr>
        <w:spacing w:after="80"/>
      </w:pPr>
      <w:r>
        <w:t xml:space="preserve">Renseignez votre Matricule ou votre email professionnel, ainsi que votre mot de passe.</w:t>
      </w:r>
    </w:p>
    <w:p>
      <w:pPr>
        <w:pStyle w:val="ListParagraph"/>
        <w:numPr>
          <w:ilvl w:val="0"/>
          <w:numId w:val="2"/>
        </w:numPr>
        <w:spacing w:after="80"/>
      </w:pPr>
      <w:r>
        <w:t xml:space="preserve">Cliquez sur « Se connecter ».</w:t>
      </w:r>
    </w:p>
    <w:p>
      <w:pPr>
        <w:pBdr>
          <w:top w:val="single" w:color="D1D5DB" w:sz="4"/>
          <w:bottom w:val="single" w:color="D1D5DB" w:sz="4"/>
          <w:left w:val="single" w:color="D1D5DB" w:sz="4"/>
          <w:right w:val="single" w:color="D1D5DB" w:sz="4"/>
        </w:pBdr>
        <w:spacing w:after="60" w:before="160"/>
        <w:jc w:val="center"/>
      </w:pPr>
      <w:r>
        <w:drawing>
          <wp:inline distT="0" distB="0" distL="0" distR="0">
            <wp:extent cx="53340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943350"/>
                    </a:xfrm>
                    <a:prstGeom prst="rect">
                      <a:avLst/>
                    </a:prstGeom>
                  </pic:spPr>
                </pic:pic>
              </a:graphicData>
            </a:graphic>
          </wp:inline>
        </w:drawing>
      </w:r>
    </w:p>
    <w:p>
      <w:pPr>
        <w:spacing w:after="200"/>
        <w:jc w:val="center"/>
      </w:pPr>
      <w:r>
        <w:rPr>
          <w:i/>
          <w:iCs/>
          <w:color w:val="6B7280"/>
          <w:sz w:val="16"/>
          <w:szCs w:val="16"/>
        </w:rPr>
        <w:t xml:space="preserve">Figure 1 — Page d'accueil publique : cliquez sur « Espace agent CNPS » en haut à droite.</w:t>
      </w:r>
    </w:p>
    <w:p>
      <w:pPr>
        <w:pBdr>
          <w:top w:val="single" w:color="D1D5DB" w:sz="4"/>
          <w:bottom w:val="single" w:color="D1D5DB" w:sz="4"/>
          <w:left w:val="single" w:color="D1D5DB" w:sz="4"/>
          <w:right w:val="single" w:color="D1D5DB" w:sz="4"/>
        </w:pBd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6B7280"/>
          <w:sz w:val="16"/>
          <w:szCs w:val="16"/>
        </w:rPr>
        <w:t xml:space="preserve">Figure 2 — Page de connexion de l'espace agent.</w:t>
      </w:r>
    </w:p>
    <w:p>
      <w:pPr>
        <w:pStyle w:val="Heading2"/>
        <w:spacing w:after="120" w:before="240"/>
      </w:pPr>
      <w:r>
        <w:rPr>
          <w:b/>
          <w:bCs/>
          <w:color w:val="F2861D"/>
        </w:rPr>
        <w:t xml:space="preserve">1.3 Modifier votre mot de passe</w:t>
      </w:r>
    </w:p>
    <w:p>
      <w:pPr>
        <w:pStyle w:val="ListParagraph"/>
        <w:numPr>
          <w:ilvl w:val="0"/>
          <w:numId w:val="3"/>
        </w:numPr>
        <w:spacing w:after="80"/>
      </w:pPr>
      <w:r>
        <w:t xml:space="preserve">Cliquez sur votre nom en bas du menu latéral, puis « Administration &amp; Profil ».</w:t>
      </w:r>
    </w:p>
    <w:p>
      <w:pPr>
        <w:pStyle w:val="ListParagraph"/>
        <w:numPr>
          <w:ilvl w:val="0"/>
          <w:numId w:val="3"/>
        </w:numPr>
        <w:spacing w:after="80"/>
      </w:pPr>
      <w:r>
        <w:t xml:space="preserve">Dans l'onglet « Mon Profil », renseignez ancien mot de passe, nouveau mot de passe et confirmation.</w:t>
      </w:r>
    </w:p>
    <w:p>
      <w:pPr>
        <w:pStyle w:val="ListParagraph"/>
        <w:numPr>
          <w:ilvl w:val="0"/>
          <w:numId w:val="3"/>
        </w:numPr>
        <w:spacing w:after="80"/>
      </w:pPr>
      <w:r>
        <w:t xml:space="preserve">Cliquez sur « Enregistrer », puis reconnectez-vous.</w:t>
      </w:r>
    </w:p>
    <w:p>
      <w:r>
        <w:br w:type="page"/>
      </w:r>
    </w:p>
    <w:p>
      <w:pPr>
        <w:pStyle w:val="Heading1"/>
        <w:spacing w:after="160" w:before="320"/>
      </w:pPr>
      <w:r>
        <w:rPr>
          <w:b/>
          <w:bCs/>
          <w:color w:val="1B2A4A"/>
        </w:rPr>
        <w:t xml:space="preserve">2. Présentation du menu général</w:t>
      </w:r>
    </w:p>
    <w:p>
      <w:pPr>
        <w:spacing w:after="140"/>
      </w:pPr>
      <w:r>
        <w:t xml:space="preserve">En tant que Superviseur, vous disposez d'une vision transversale sur l'ensemble des agences de la CNPS. Vous pouvez consulter, valider ou retourner un dossier de n'importe quelle agence, et suivre la performance globale du dispositif de traitement des réclamations.</w:t>
      </w:r>
    </w:p>
    <w:p>
      <w:pPr>
        <w:spacing w:after="140"/>
      </w:pPr>
      <w:r>
        <w:t xml:space="preserve">Votre menu latéral se présente comme suit :</w:t>
      </w:r>
    </w:p>
    <w:p>
      <w:pPr>
        <w:pStyle w:val="ListParagraph"/>
        <w:numPr>
          <w:ilvl w:val="0"/>
          <w:numId w:val="4"/>
        </w:numPr>
        <w:spacing w:after="80"/>
      </w:pPr>
      <w:r>
        <w:t xml:space="preserve">Tableau de bord : reporting global et vue opérationnelle multi-agences.</w:t>
      </w:r>
    </w:p>
    <w:p>
      <w:pPr>
        <w:pStyle w:val="ListParagraph"/>
        <w:numPr>
          <w:ilvl w:val="0"/>
          <w:numId w:val="4"/>
        </w:numPr>
        <w:spacing w:after="80"/>
      </w:pPr>
      <w:r>
        <w:t xml:space="preserve">Nouvelle réclamation : saisie directe si besoin.</w:t>
      </w:r>
    </w:p>
    <w:p>
      <w:pPr>
        <w:pStyle w:val="ListParagraph"/>
        <w:numPr>
          <w:ilvl w:val="0"/>
          <w:numId w:val="4"/>
        </w:numPr>
        <w:spacing w:after="80"/>
      </w:pPr>
      <w:r>
        <w:t xml:space="preserve">Base de connaissances : articles d'aide et procédures.</w:t>
      </w:r>
    </w:p>
    <w:p>
      <w:pPr>
        <w:pStyle w:val="ListParagraph"/>
        <w:numPr>
          <w:ilvl w:val="0"/>
          <w:numId w:val="4"/>
        </w:numPr>
        <w:spacing w:after="80"/>
      </w:pPr>
      <w:r>
        <w:t xml:space="preserve">Administration &amp; Profil : vos informations personnelles (onglet « Mon Profil »).</w:t>
      </w:r>
    </w:p>
    <w:p>
      <w:pPr>
        <w:spacing w:after="140"/>
      </w:pPr>
      <w:r>
        <w:t xml:space="preserve">Corbeilles de traitement :</w:t>
      </w:r>
    </w:p>
    <w:p>
      <w:pPr>
        <w:pStyle w:val="ListParagraph"/>
        <w:numPr>
          <w:ilvl w:val="0"/>
          <w:numId w:val="4"/>
        </w:numPr>
        <w:spacing w:after="80"/>
      </w:pPr>
      <w:r>
        <w:t xml:space="preserve">Vue globale</w:t>
      </w:r>
    </w:p>
    <w:p>
      <w:pPr>
        <w:pStyle w:val="ListParagraph"/>
        <w:numPr>
          <w:ilvl w:val="0"/>
          <w:numId w:val="4"/>
        </w:numPr>
        <w:spacing w:after="80"/>
      </w:pPr>
      <w:r>
        <w:t xml:space="preserve">Non affectées</w:t>
      </w:r>
    </w:p>
    <w:p>
      <w:pPr>
        <w:pStyle w:val="ListParagraph"/>
        <w:numPr>
          <w:ilvl w:val="0"/>
          <w:numId w:val="4"/>
        </w:numPr>
        <w:spacing w:after="80"/>
      </w:pPr>
      <w:r>
        <w:t xml:space="preserve">En cours</w:t>
      </w:r>
    </w:p>
    <w:p>
      <w:pPr>
        <w:pStyle w:val="ListParagraph"/>
        <w:numPr>
          <w:ilvl w:val="0"/>
          <w:numId w:val="4"/>
        </w:numPr>
        <w:spacing w:after="80"/>
      </w:pPr>
      <w:r>
        <w:t xml:space="preserve">À clôturer</w:t>
      </w:r>
    </w:p>
    <w:p>
      <w:pPr>
        <w:pStyle w:val="ListParagraph"/>
        <w:numPr>
          <w:ilvl w:val="0"/>
          <w:numId w:val="4"/>
        </w:numPr>
        <w:spacing w:after="80"/>
      </w:pPr>
      <w:r>
        <w:t xml:space="preserve">Résolu</w:t>
      </w:r>
    </w:p>
    <w:p>
      <w:pPr>
        <w:pStyle w:val="ListParagraph"/>
        <w:numPr>
          <w:ilvl w:val="0"/>
          <w:numId w:val="4"/>
        </w:numPr>
        <w:spacing w:after="80"/>
      </w:pPr>
      <w:r>
        <w:t xml:space="preserve">Hors délai</w:t>
      </w:r>
    </w:p>
    <w:p>
      <w:pPr>
        <w:pStyle w:val="ListParagraph"/>
        <w:numPr>
          <w:ilvl w:val="0"/>
          <w:numId w:val="4"/>
        </w:numPr>
        <w:spacing w:after="80"/>
      </w:pPr>
      <w:r>
        <w:t xml:space="preserve">Escaladées</w:t>
      </w:r>
    </w:p>
    <w:p>
      <w:pPr>
        <w:pBdr>
          <w:left w:val="single" w:color="F2861D" w:sz="24" w:space="8"/>
        </w:pBdr>
        <w:shd w:fill="FFF4E8" w:val="clear"/>
        <w:spacing w:after="160" w:before="100"/>
      </w:pPr>
      <w:r>
        <w:rPr>
          <w:i/>
          <w:iCs/>
          <w:color w:val="7A4A0E"/>
        </w:rPr>
        <w:t xml:space="preserve">  Les modules avancés de paramétrage (processus, motifs, régimes, objectifs SLA, gestion des utilisateurs...) sont réservés aux profils Administrateur fonctionnel et Administrateur système. Votre accès à « Administration &amp; Profil » se limite à la gestion de votre propre compte.</w:t>
      </w:r>
    </w:p>
    <w:p>
      <w:r>
        <w:br w:type="page"/>
      </w:r>
    </w:p>
    <w:p>
      <w:pPr>
        <w:pStyle w:val="Heading1"/>
        <w:spacing w:after="160" w:before="320"/>
      </w:pPr>
      <w:r>
        <w:rPr>
          <w:b/>
          <w:bCs/>
          <w:color w:val="1B2A4A"/>
        </w:rPr>
        <w:t xml:space="preserve">3. Tableau de bord : Reporting et Opérations</w:t>
      </w:r>
    </w:p>
    <w:p>
      <w:pPr>
        <w:spacing w:after="140"/>
      </w:pPr>
      <w:r>
        <w:t xml:space="preserve">Le tableau de bord Superviseur propose deux vues, accessibles via les boutons en haut à droite : « Reporting » (analyse chiffrée) et « Opérations » (liste de travail).</w:t>
      </w:r>
    </w:p>
    <w:p>
      <w:pPr>
        <w:pBdr>
          <w:top w:val="single" w:color="D1D5DB" w:sz="4"/>
          <w:bottom w:val="single" w:color="D1D5DB" w:sz="4"/>
          <w:left w:val="single" w:color="D1D5DB" w:sz="4"/>
          <w:right w:val="single" w:color="D1D5DB" w:sz="4"/>
        </w:pBdr>
        <w:spacing w:after="60" w:before="16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6B7280"/>
          <w:sz w:val="16"/>
          <w:szCs w:val="16"/>
        </w:rPr>
        <w:t xml:space="preserve">Figure 3 — Tableau de bord Superviseur — vue Reporting : cartes KPI, charge par pilote, répartitions.</w:t>
      </w:r>
    </w:p>
    <w:p>
      <w:pPr>
        <w:pStyle w:val="Heading2"/>
        <w:spacing w:after="120" w:before="240"/>
      </w:pPr>
      <w:r>
        <w:rPr>
          <w:b/>
          <w:bCs/>
          <w:color w:val="F2861D"/>
        </w:rPr>
        <w:t xml:space="preserve">3.1 Vue Reporting</w:t>
      </w:r>
    </w:p>
    <w:p>
      <w:pPr>
        <w:pStyle w:val="ListParagraph"/>
        <w:numPr>
          <w:ilvl w:val="0"/>
          <w:numId w:val="4"/>
        </w:numPr>
        <w:spacing w:after="80"/>
      </w:pPr>
      <w:r>
        <w:t xml:space="preserve">Cartes KPI de l'agence sélectionnée : total, non affectés, à analyser, en cours, à clôturer, hors délai, qualifiés, résolus.</w:t>
      </w:r>
    </w:p>
    <w:p>
      <w:pPr>
        <w:pStyle w:val="ListParagraph"/>
        <w:numPr>
          <w:ilvl w:val="0"/>
          <w:numId w:val="4"/>
        </w:numPr>
        <w:spacing w:after="80"/>
      </w:pPr>
      <w:r>
        <w:t xml:space="preserve">Tickets créés, qualifiés et non qualifiés sur la période.</w:t>
      </w:r>
    </w:p>
    <w:p>
      <w:pPr>
        <w:pStyle w:val="ListParagraph"/>
        <w:numPr>
          <w:ilvl w:val="0"/>
          <w:numId w:val="4"/>
        </w:numPr>
        <w:spacing w:after="80"/>
      </w:pPr>
      <w:r>
        <w:t xml:space="preserve">Charge et productivité par pilote : nombre de dossiers à affecter, en cours, résolus et hors délai pour chaque pilote de l'agence.</w:t>
      </w:r>
    </w:p>
    <w:p>
      <w:pPr>
        <w:pStyle w:val="ListParagraph"/>
        <w:numPr>
          <w:ilvl w:val="0"/>
          <w:numId w:val="4"/>
        </w:numPr>
        <w:spacing w:after="80"/>
      </w:pPr>
      <w:r>
        <w:t xml:space="preserve">Répartitions par statut, par processus métier et top motifs de réclamation.</w:t>
      </w:r>
    </w:p>
    <w:p>
      <w:pPr>
        <w:pStyle w:val="Heading2"/>
        <w:spacing w:after="120" w:before="240"/>
      </w:pPr>
      <w:r>
        <w:rPr>
          <w:b/>
          <w:bCs/>
          <w:color w:val="F2861D"/>
        </w:rPr>
        <w:t xml:space="preserve">3.2 Vue Opérations</w:t>
      </w:r>
    </w:p>
    <w:p>
      <w:pPr>
        <w:spacing w:after="140"/>
      </w:pPr>
      <w:r>
        <w:t xml:space="preserve">Bascule vers une liste de travail identique à celle des autres profils : recherche, filtres par statut et par processus, export Excel/PDF, accès direct aux fiches.</w:t>
      </w:r>
    </w:p>
    <w:p>
      <w:r>
        <w:br w:type="page"/>
      </w:r>
    </w:p>
    <w:p>
      <w:pPr>
        <w:pStyle w:val="Heading1"/>
        <w:spacing w:after="160" w:before="320"/>
      </w:pPr>
      <w:r>
        <w:rPr>
          <w:b/>
          <w:bCs/>
          <w:color w:val="1B2A4A"/>
        </w:rPr>
        <w:t xml:space="preserve">4. Validation et suivi des escalades</w:t>
      </w:r>
    </w:p>
    <w:p>
      <w:pPr>
        <w:pStyle w:val="Heading2"/>
        <w:spacing w:after="120" w:before="240"/>
      </w:pPr>
      <w:r>
        <w:rPr>
          <w:b/>
          <w:bCs/>
          <w:color w:val="F2861D"/>
        </w:rPr>
        <w:t xml:space="preserve">4.1 Valider ou retourner un dossier, toutes agences</w:t>
      </w:r>
    </w:p>
    <w:p>
      <w:pPr>
        <w:spacing w:after="140"/>
      </w:pPr>
      <w:r>
        <w:t xml:space="preserve">Comme le Manager, vous pouvez ouvrir un dossier « À Valider » depuis la corbeille « À clôturer » et cliquer sur « Clôturer » ou « Retourner ». À la différence du Manager, ce droit ne se limite pas à votre agence de rattachement : vous pouvez valider un dossier de n'importe quelle agence du réseau.</w:t>
      </w:r>
    </w:p>
    <w:p>
      <w:pPr>
        <w:pStyle w:val="ListParagraph"/>
        <w:numPr>
          <w:ilvl w:val="0"/>
          <w:numId w:val="5"/>
        </w:numPr>
        <w:spacing w:after="80"/>
      </w:pPr>
      <w:r>
        <w:t xml:space="preserve">Ouvrez la corbeille « À clôturer ».</w:t>
      </w:r>
    </w:p>
    <w:p>
      <w:pPr>
        <w:pStyle w:val="ListParagraph"/>
        <w:numPr>
          <w:ilvl w:val="0"/>
          <w:numId w:val="5"/>
        </w:numPr>
        <w:spacing w:after="80"/>
      </w:pPr>
      <w:r>
        <w:t xml:space="preserve">Sélectionnez le dossier à examiner, quelle que soit son agence d'origine.</w:t>
      </w:r>
    </w:p>
    <w:p>
      <w:pPr>
        <w:pStyle w:val="ListParagraph"/>
        <w:numPr>
          <w:ilvl w:val="0"/>
          <w:numId w:val="5"/>
        </w:numPr>
        <w:spacing w:after="80"/>
      </w:pPr>
      <w:r>
        <w:t xml:space="preserve">Consultez l'onglet Traitement (analyse et actions du Pilote).</w:t>
      </w:r>
    </w:p>
    <w:p>
      <w:pPr>
        <w:pStyle w:val="ListParagraph"/>
        <w:numPr>
          <w:ilvl w:val="0"/>
          <w:numId w:val="5"/>
        </w:numPr>
        <w:spacing w:after="80"/>
      </w:pPr>
      <w:r>
        <w:t xml:space="preserve">Cliquez sur « Clôturer » pour valider, ou « Retourner » avec un motif pour renvoyer le dossier au Pilote.</w:t>
      </w:r>
    </w:p>
    <w:p>
      <w:pPr>
        <w:pStyle w:val="Heading2"/>
        <w:spacing w:after="120" w:before="240"/>
      </w:pPr>
      <w:r>
        <w:rPr>
          <w:b/>
          <w:bCs/>
          <w:color w:val="F2861D"/>
        </w:rPr>
        <w:t xml:space="preserve">4.2 Dossiers escaladés</w:t>
      </w:r>
    </w:p>
    <w:p>
      <w:pPr>
        <w:spacing w:after="140"/>
      </w:pPr>
      <w:r>
        <w:t xml:space="preserve">La corbeille « Escaladées » regroupe les dossiers qu'un Pilote a jugé nécessaire de faire remonter à un niveau supérieur. En tant que Superviseur, examinez-les en priorité et coordonnez, si besoin, l'intervention d'autres services.</w:t>
      </w:r>
    </w:p>
    <w:p>
      <w:r>
        <w:br w:type="page"/>
      </w:r>
    </w:p>
    <w:p>
      <w:pPr>
        <w:pStyle w:val="Heading1"/>
        <w:spacing w:after="160" w:before="320"/>
      </w:pPr>
      <w:r>
        <w:rPr>
          <w:b/>
          <w:bCs/>
          <w:color w:val="1B2A4A"/>
        </w:rPr>
        <w:t xml:space="preserve">5. Notifications et Base de connaissances</w:t>
      </w:r>
    </w:p>
    <w:p>
      <w:pPr>
        <w:pStyle w:val="Heading2"/>
        <w:spacing w:after="120" w:before="240"/>
      </w:pPr>
      <w:r>
        <w:rPr>
          <w:b/>
          <w:bCs/>
          <w:color w:val="F2861D"/>
        </w:rPr>
        <w:t xml:space="preserve">5.1 Centre de notifications</w:t>
      </w:r>
    </w:p>
    <w:p>
      <w:pPr>
        <w:spacing w:after="140"/>
      </w:pPr>
      <w:r>
        <w:t xml:space="preserve">La cloche en haut de l'écran vous alerte lors d'une escalade, d'une soumission en attente de validation, ou d'un dossier resté hors délai.</w:t>
      </w:r>
    </w:p>
    <w:p>
      <w:pPr>
        <w:pStyle w:val="Heading2"/>
        <w:spacing w:after="120" w:before="240"/>
      </w:pPr>
      <w:r>
        <w:rPr>
          <w:b/>
          <w:bCs/>
          <w:color w:val="F2861D"/>
        </w:rPr>
        <w:t xml:space="preserve">5.2 Base de connaissances</w:t>
      </w:r>
    </w:p>
    <w:p>
      <w:pPr>
        <w:spacing w:after="140"/>
      </w:pPr>
      <w:r>
        <w:t xml:space="preserve">Consultez la Base de connaissances pour arbitrer un dossier complexe ou vérifier la conformité réglementaire d'un traitement avant validation.</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4"/>
        <w:szCs w:val="14"/>
      </w:rPr>
      <w:t xml:space="preserve">CNPS Côte d'Ivoire — Guide Utilisateur e-Réclamations — Page </w:t>
    </w:r>
    <w:r>
      <w:rPr>
        <w:color w:val="6B7280"/>
        <w:sz w:val="14"/>
        <w:szCs w:val="14"/>
      </w:rPr>
      <w:fldChar w:fldCharType="begin"/>
      <w:instrText xml:space="preserve">PAGE</w:instrText>
      <w:fldChar w:fldCharType="separate"/>
      <w:fldChar w:fldCharType="end"/>
    </w:r>
    <w:r>
      <w:rPr>
        <w:color w:val="6B7280"/>
        <w:sz w:val="14"/>
        <w:szCs w:val="14"/>
      </w:rPr>
      <w:t xml:space="preserve"> / </w:t>
    </w:r>
    <w:r>
      <w:rPr>
        <w:color w:val="6B72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4"/>
        <w:szCs w:val="14"/>
      </w:rPr>
      <w:t xml:space="preserve">PRO-MO-ERC-04 —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60" w:hanging="260"/>
      </w:pPr>
    </w:lvl>
  </w:abstractNum>
  <w:abstractNum w:abstractNumId="3" w15:restartNumberingAfterBreak="0">
    <w:multiLevelType w:val="hybridMultilevel"/>
    <w:lvl w:ilvl="0" w15:tentative="1">
      <w:start w:val="1"/>
      <w:numFmt w:val="decimal"/>
      <w:lvlText w:val="%1."/>
      <w:lvlJc w:val="left"/>
      <w:pPr>
        <w:ind w:left="480" w:hanging="300"/>
      </w:pPr>
    </w:lvl>
    <w:lvl w:ilvl="1" w15:tentative="1">
      <w:start w:val="1"/>
      <w:numFmt w:val="lowerLetter"/>
      <w:lvlText w:val="%2)"/>
      <w:lvlJc w:val="left"/>
      <w:pPr>
        <w:ind w:left="960" w:hanging="260"/>
      </w:pPr>
    </w:lvl>
  </w:abstractNum>
  <w:abstractNum w:abstractNumId="4" w15:restartNumberingAfterBreak="0">
    <w:multiLevelType w:val="hybridMultilevel"/>
    <w:lvl w:ilvl="0" w15:tentative="1">
      <w:start w:val="1"/>
      <w:numFmt w:val="decimal"/>
      <w:lvlText w:val="%1."/>
      <w:lvlJc w:val="left"/>
      <w:pPr>
        <w:ind w:left="480" w:hanging="300"/>
      </w:pPr>
    </w:lvl>
    <w:lvl w:ilvl="1" w15:tentative="1">
      <w:start w:val="1"/>
      <w:numFmt w:val="lowerLetter"/>
      <w:lvlText w:val="%2)"/>
      <w:lvlJc w:val="left"/>
      <w:pPr>
        <w:ind w:left="960" w:hanging="260"/>
      </w:pPr>
    </w:lvl>
  </w:abstractNum>
  <w:abstractNum w:abstractNumId="5" w15:restartNumberingAfterBreak="0">
    <w:multiLevelType w:val="hybridMultilevel"/>
    <w:lvl w:ilvl="0" w15:tentative="1">
      <w:start w:val="1"/>
      <w:numFmt w:val="decimal"/>
      <w:lvlText w:val="%1."/>
      <w:lvlJc w:val="left"/>
      <w:pPr>
        <w:ind w:left="480" w:hanging="300"/>
      </w:pPr>
    </w:lvl>
    <w:lvl w:ilvl="1" w15:tentative="1">
      <w:start w:val="1"/>
      <w:numFmt w:val="lowerLetter"/>
      <w:lvlText w:val="%2)"/>
      <w:lvlJc w:val="left"/>
      <w:pPr>
        <w:ind w:left="960" w:hanging="2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c6a0b48070f01613909bfcc1763dd565f4d6507.png"/><Relationship Id="rId10" Type="http://schemas.openxmlformats.org/officeDocument/2006/relationships/image" Target="media/1b19fc17028ebdcbf6d6db8ccb27ee862be91172.png"/><Relationship Id="rId11" Type="http://schemas.openxmlformats.org/officeDocument/2006/relationships/image" Target="media/325ed9b74ddf7fc336178a9fb1ab8e8abc449b2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2026-08-30T16:33:01.990Z</dcterms:created>
  <dcterms:modified xsi:type="dcterms:W3CDTF">2026-08-30T16:33:02.034Z</dcterms:modified>
</cp:coreProperties>
</file>

<file path=docProps/custom.xml><?xml version="1.0" encoding="utf-8"?>
<Properties xmlns="http://schemas.openxmlformats.org/officeDocument/2006/custom-properties" xmlns:vt="http://schemas.openxmlformats.org/officeDocument/2006/docPropsVTypes"/>
</file>