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4E79"/>
          <w:sz w:val="24"/>
          <w:szCs w:val="24"/>
        </w:rPr>
        <w:t xml:space="preserve">LAPORAN AUDIT DAN CROSSCHECK</w:t>
      </w:r>
    </w:p>
    <w:p>
      <w:pPr>
        <w:spacing w:after="300"/>
      </w:pPr>
      <w:r>
        <w:rPr>
          <w:b/>
          <w:bCs/>
          <w:sz w:val="36"/>
          <w:szCs w:val="36"/>
        </w:rPr>
        <w:t xml:space="preserve">Paper GENY: Predicting Childhood Stunting Risk from Field-Recordable Survey Variables Using Decision Tree Learning</w:t>
      </w:r>
    </w:p>
    <w:p>
      <w:pPr>
        <w:spacing w:after="120" w:line="276"/>
        <w:jc w:val="left"/>
      </w:pPr>
      <w:r>
        <w:t xml:space="preserve">Objek audit: file 2026288710.pdf (6 halaman, A4), metadata "Certified by IEEE PDF eXpress at August 19, 2026". Target: IBITeC 2026 (The 5th International Biomedical Instrumentation and Technology Conference), standar minimum SINTA 2.</w:t>
      </w:r>
    </w:p>
    <w:p>
      <w:pPr>
        <w:spacing w:after="120" w:line="276"/>
        <w:jc w:val="left"/>
      </w:pPr>
      <w:r>
        <w:t xml:space="preserve">Sumber pembanding: confusion matrix dan tabel paper sendiri (dihitung ulang), catatan V6 (19 Juni 2026) di memori project, Buku Kode SKI 2023, tangkapan layar formulir GENY v0.1.0 di project, serta penelusuran rujukan via Consensus dan web.</w:t>
      </w:r>
    </w:p>
    <w:p>
      <w:pPr>
        <w:spacing w:after="120" w:line="276"/>
        <w:jc w:val="left"/>
      </w:pPr>
      <w:r>
        <w:rPr>
          <w:i/>
          <w:iCs/>
        </w:rPr>
        <w:t xml:space="preserve">Disusun: 26 September 2026. Format perbaikan: sebelum/sesudah dengan teks persis dari paper.</w:t>
      </w:r>
    </w:p>
    <w:p>
      <w:pPr>
        <w:pStyle w:val="Heading1"/>
        <w:spacing w:after="140" w:before="300"/>
      </w:pPr>
      <w:r>
        <w:t xml:space="preserve">1. Ringkasan audit</w:t>
      </w:r>
    </w:p>
    <w:p>
      <w:pPr>
        <w:spacing w:after="120" w:line="276"/>
        <w:jc w:val="both"/>
      </w:pPr>
      <w:r>
        <w:t xml:space="preserve">Seluruh angka turunan confusion matrix dapat dihitung ulang dan cocok, kecuali dua selisih pembulatan 0,0001. Temuan audit sebelumnya D1, D2, D5, D7, dan D9 sudah terselesaikan, sedangkan D3 dan D4 diakui terbuka. Masalah yang tersisa bukan pada angka, tetapi pada kecocokan antara klaim dan bukti: enam temuan kritis (K1 sampai K6), lima belas temuan sedang (S1 sampai S15), dan dua rujukan dengan metadata tidak cocok.</w:t>
      </w:r>
    </w:p>
    <w:p>
      <w:pPr>
        <w:spacing w:after="120" w:line="276"/>
        <w:jc w:val="both"/>
      </w:pPr>
      <w:r>
        <w:rPr>
          <w:b/>
          <w:bCs/>
        </w:rPr>
        <w:t xml:space="preserve">Verdict simulasi reviewer:</w:t>
      </w:r>
      <w:r>
        <w:t xml:space="preserve"> revisi wajib sebelum publikasi. Hasil kuantitatif layak, tetapi bagian Metode menggambarkan prosedur yang berbeda dari yang menghasilkan angka (K1), deskripsi algoritma tidak sesuai implementasi (K6), dan klaim deployment tidak didukung aplikasi yang terdokumentasi (K5). Karena file sudah tersertifikasi PDF eXpress, izin revisi perlu dikonfirmasi ke panitia sebelum dikerjakan, lalu file disertifikasi ulang.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Kategori</w:t>
            </w:r>
          </w:p>
        </w:tc>
        <w:tc>
          <w:tcPr>
            <w:tcW w:type="dxa" w:w="72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Jumlah dan status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Pemeriksaan aritmetika</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 pemeriksaan; 18 cocok, 2 selisih pembulatan 0,0001</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Temuan audit lama (D1 sampai D9)</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 selesai, 2 diakui di Limitations, 1 sebagian, 1 belum</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Temuan kritis baru</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6 (K1 sampai K6)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Temuan sedang baru</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15 (S1 sampai S15)</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Rujukan (28)</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11 terverifikasi dan 2 terverifikasi sebagian di sesi ini; 10 rujukan klasik atau dokumen resmi dikenal; 3 belum diverifikasi; 2 bermasalah ([6], [16])</w:t>
            </w:r>
          </w:p>
        </w:tc>
      </w:tr>
    </w:tbl>
    <w:p>
      <w:pPr>
        <w:spacing w:after="160" w:before="60"/>
      </w:pPr>
      <w:r>
        <w:rPr>
          <w:i/>
          <w:iCs/>
          <w:sz w:val="18"/>
          <w:szCs w:val="18"/>
        </w:rPr>
        <w:t xml:space="preserve">Tabel 1. Ringkasan hasil audit.</w:t>
      </w:r>
    </w:p>
    <w:p>
      <w:pPr>
        <w:pStyle w:val="Heading1"/>
        <w:spacing w:after="140" w:before="300"/>
      </w:pPr>
      <w:r>
        <w:t xml:space="preserve">2. Verifikasi aritmetika</w:t>
      </w:r>
    </w:p>
    <w:p>
      <w:pPr>
        <w:spacing w:after="120" w:line="276"/>
        <w:jc w:val="both"/>
      </w:pPr>
      <w:r>
        <w:t xml:space="preserve">Semua nilai dihitung ulang dari Tabel VII (baris aktual, kolom prediksi): Low 24.680 / 1.354 / 620; Moderate 5.927 / 11.214 / 3.408; High 2.972 / 581 / 10.083.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2300"/>
        <w:gridCol w:w="1738"/>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Besaran</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Nilai di paper</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Hitung ulang</w:t>
            </w:r>
          </w:p>
        </w:tc>
        <w:tc>
          <w:tcPr>
            <w:tcW w:type="dxa" w:w="17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Status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Total baris dan kolom Tabel VII</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26.654; 20.549; 13.636 / 33.579; 13.149; 14.111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Sama; N = 60.839</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Accuracy</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0,7557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45.977/60.839 = 0,7557</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Precision Low / Mod / High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0,7350 / 0,8528 / 0,7145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0,7350 / 0,8528 / 0,7145</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Recall Low / Mod / High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0,9259 / 0,5457 / 0,7394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0,9259 / 0,5457 / 0,7394</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F1 Low / Mod / High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0,8195 / 0,6656 / 0,7268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0,8195 / 0,6656 / 0,7268</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Macro precision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0,7674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0,76746 = 0,7675</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Selisih 0,0001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Macro recall / macro F1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0,7370 / 0,7373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0,7370 / 0,7373</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Weighted F1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0,7468 (abstrak, Tabel VI, Kesimpulan)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0,74672 = 0,7467</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Selisih 0,0001</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Sensitivitas biner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73,97% (25.286/34.185)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73,97%</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Spesifisitas / PPV / NPV</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92,59% / 92,76% / 73,50%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92,59% / 92,76% / 73,50%</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High cleared / Low flagged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21,80% / 7,41%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2.972/13.636; 1.974/26.654</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Baseline mayoritas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0,4381; macro F1 0,2031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26.654/60.839; (2×0,4381/1,4381)/3</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Train / test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243.354 / 60.839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Jumlah 304.193</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Deduplikasi per kelas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841 / 927 / 320 = 2.088; Mod 0,89%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Mod 927/103.670 = 0,89%</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Kelas sebelum deduplikasi</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Tidak disebut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134.110 / 103.670 / 68.501</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Konsisten dengan profil HAZ mentah</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Merge individu</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230.405 (75,2%)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230.405/306.281 = 75,23%</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Missing usia kehamilan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(7.200 + 4.383)/306.281 = 3,78%</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 dengan profil kolom I04</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Importance tinggi + usia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0,9823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0,5243 + 0,4580</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Share split Tabel IX</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41,01% ... 0,56%; total 178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73/178 ... 1/178</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Daun 65 + 70 + 44; 150/179; 64/83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179; 83,8%; 77,1%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179; 83,8%; 77,1%</w:t>
            </w:r>
          </w:p>
        </w:tc>
        <w:tc>
          <w:tcPr>
            <w:tcW w:type="dxa" w:w="17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bl>
    <w:p>
      <w:pPr>
        <w:spacing w:after="160" w:before="60"/>
      </w:pPr>
      <w:r>
        <w:rPr>
          <w:i/>
          <w:iCs/>
          <w:sz w:val="18"/>
          <w:szCs w:val="18"/>
        </w:rPr>
        <w:t xml:space="preserve">Tabel 2. Verifikasi aritmetika. Selisih 0,0001 perlu dicetak ulang dari program dengan presisi penuh sebelum diubah.</w:t>
      </w:r>
    </w:p>
    <w:p>
      <w:pPr>
        <w:pStyle w:val="Heading1"/>
        <w:spacing w:after="140" w:before="300"/>
      </w:pPr>
      <w:r>
        <w:t xml:space="preserve">3. Status temuan audit sebelumnya (D1 sampai D9)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500"/>
        <w:gridCol w:w="4838"/>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Kode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Temuan</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Bukti di paper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D1</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Cakupan Kalimantan vs data nasional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Selesai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Label Kalimantan hilang; 304.193 anak. Cakupan 38 provinsi belum disebut (S13)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A12 salah label sebagai status gizi ibu</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Selesai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Fitur menjadi maternal_pulmonary_TB dengan catatan kode 1, 2, 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D3</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Tautan ibu memakai pasangan KRT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Diakui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Limitations dan penjelasan merge 75,2%; model IV.E memakai kunci ibu eksplisit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Bobot survei tidak dipakai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Diakui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Catatan Tabel II dan Limitations: 22,4% vs 21,5%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D5</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V6 merekonstruksi rumus HAZ</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Selesai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Framing "aproksimasi batas WHO, bukan model etiologis"; kontribusi non-antropometri dikuantifikasi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D6</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Versi usang beredar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Sebagian</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Angka V6 dipakai; angka Tabel X dan model IV.E belum punya log program yang dapat ditelusuri (S10)</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D7</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Atribusi rujukan Arief</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Selesai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Rujukan [3] dimulai Y. S. Arief</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D8</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Mutu data berat lahir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Belum</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Uji sensitivitas sumber data (Buku KIA vs ingatan) belum ada; importance &lt; 0,00005</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D9</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2.088 baris tanpa jejak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Selesai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Deduplikasi vektor prediktor 841 / 927 / 320</w:t>
            </w:r>
          </w:p>
        </w:tc>
      </w:tr>
    </w:tbl>
    <w:p>
      <w:pPr>
        <w:spacing w:after="160" w:before="60"/>
      </w:pPr>
      <w:r>
        <w:rPr>
          <w:i/>
          <w:iCs/>
          <w:sz w:val="18"/>
          <w:szCs w:val="18"/>
        </w:rPr>
        <w:t xml:space="preserve">Tabel 3. Status temuan audit sebelumnya terhadap draf 19 Agustus 2026.</w:t>
      </w:r>
    </w:p>
    <w:p>
      <w:pPr>
        <w:pStyle w:val="Heading1"/>
        <w:spacing w:after="140" w:before="300"/>
      </w:pPr>
      <w:r>
        <w:t xml:space="preserve">4. Temuan kritis (wajib diperbaiki)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00"/>
        <w:gridCol w:w="3338"/>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Kode</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Masalah dan bukti</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Sebelum (teks paper)</w:t>
            </w:r>
          </w:p>
        </w:tc>
        <w:tc>
          <w:tcPr>
            <w:tcW w:type="dxa" w:w="33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Sesudah (usulan)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K1</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Metode bertentangan dengan Limitations: III.A dan Tabel IV menyebut penggantian kode per variabel, padahal angka V6 dihasilkan dengan penggantian seragam (bukti: missing tinggi 0,5%, median 88,10 cm, pengakuan di IV.G)</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III.A: "survey non-response codes are replaced with missing per variable following the codebook: 88 for gestational age and 888 or 8888 for birth weight, while measured height and child age carry no non-response code."</w:t>
            </w:r>
          </w:p>
          <w:p>
            <w:r>
              <w:rPr>
                <w:b w:val="false"/>
                <w:bCs w:val="false"/>
                <w:sz w:val="18"/>
                <w:szCs w:val="18"/>
              </w:rPr>
              <w:t xml:space="preserve">Tabel IV: "Replace survey non-response codes with missing, applied per variable following the SKI codebook: 88 for gestational age, 888 or 8888 for birth weight. Measured height and child age carry no non-response code."</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III.A: "survey non-response codes (88, 888 and 8888) were replaced with missing across all numeric predictors; Section IV.G explains why this uniform rule is incorrect for measured height."</w:t>
            </w:r>
          </w:p>
          <w:p>
            <w:r>
              <w:rPr>
                <w:b w:val="false"/>
                <w:bCs w:val="false"/>
                <w:sz w:val="18"/>
                <w:szCs w:val="18"/>
              </w:rPr>
              <w:t xml:space="preserve">Tabel IV: "Replace the codes 88, 888 and 8888 with missing across all numeric predictors (uniform rule; see Section IV.G)."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K2</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Klaim bahwa model IV.E mengatasi empat bias, dan atribusi 0,3808 ke kanal antropometri. Model IV.E berbeda dalam lima hal sekaligus (prediktor, encoding, tautan ibu, penanganan missing, tanpa tinggi dan usia)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IV.G: "All four are addressed in the model of Section IV.E."</w:t>
            </w:r>
          </w:p>
          <w:p>
            <w:r>
              <w:rPr>
                <w:b w:val="false"/>
                <w:bCs w:val="false"/>
                <w:sz w:val="18"/>
                <w:szCs w:val="18"/>
              </w:rPr>
              <w:t xml:space="preserve">IV.E: "Non-anthropometric factors therefore carry real but weak signal, and the anthropometric channel accounts for a further 0.3808 of macro F1."</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IV.G: "The model of Section IV.E applies corrected handling, but it also differs in predictors, encoding and maternal linkage, so the four biases remain in the figures reported for the proposed tree."</w:t>
            </w:r>
          </w:p>
          <w:p>
            <w:r>
              <w:rPr>
                <w:b w:val="false"/>
                <w:bCs w:val="false"/>
                <w:sz w:val="18"/>
                <w:szCs w:val="18"/>
              </w:rPr>
              <w:t xml:space="preserve">IV.E: "Non-anthropometric factors therefore carry real but weak signal; the 0.3808 macro-F1 gap between the two models bounds rather than isolates the anthropometric contribution, because the models also differ in preprocessing, encoding and maternal linkage."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K3</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Catatan Tabel IX menyebut enam fitur &lt; 0,00005, padahal tabel memuat lima; abstrak menyebut enam prediktor "socioeconomic" &lt; 0,0002, yang tidak dapat diturunkan dari tabel dan tidak ada variabel sosial ekonomi</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Catatan Tabel IX: "six contribute below 0.00005 each and are reported as such rather than rounded to zero."</w:t>
            </w:r>
          </w:p>
          <w:p>
            <w:r>
              <w:rPr>
                <w:b w:val="false"/>
                <w:bCs w:val="false"/>
                <w:sz w:val="18"/>
                <w:szCs w:val="18"/>
              </w:rPr>
              <w:t xml:space="preserve">Abstrak: "whereas the six maternal, environmental and socioeconomic predictors together contribute below 0.0002."</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Catatan Tabel IX: "five contribute below 0.00005 each and are reported as such rather than rounded to zero, and gestational age contributes 0.0001."</w:t>
            </w:r>
          </w:p>
          <w:p>
            <w:r>
              <w:rPr>
                <w:b w:val="false"/>
                <w:bCs w:val="false"/>
                <w:sz w:val="18"/>
                <w:szCs w:val="18"/>
              </w:rPr>
              <w:t xml:space="preserve">Abstrak: "whereas the six perinatal, maternal, regional and environmental predictors together contribute approximately 0.0002."</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K4</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Nilai guna belum dijawab: bila tinggi, usia, dan jenis kelamin sudah diinput ke perangkat, HAZ dapat dihitung persis; pohon meloloskan 21,80% anak berisiko tinggi</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Abstrak: "executable at the Posyandu without LMS lookup tables."</w:t>
            </w:r>
          </w:p>
          <w:p>
            <w:r>
              <w:rPr>
                <w:b w:val="false"/>
                <w:bCs w:val="false"/>
                <w:sz w:val="18"/>
                <w:szCs w:val="18"/>
              </w:rPr>
              <w:t xml:space="preserve">IV.G: (belum ada kalimat pembanding perhitungan eksak)</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Abstrak: "executable by hand at the Posyandu where LMS tables or a computing device are unavailable."</w:t>
            </w:r>
          </w:p>
          <w:p>
            <w:r>
              <w:rPr>
                <w:b w:val="false"/>
                <w:bCs w:val="false"/>
                <w:sz w:val="18"/>
                <w:szCs w:val="18"/>
              </w:rPr>
              <w:t xml:space="preserve">Tambahan IV.G: "Where height, age and sex are recorded on a device, HAZ can be computed exactly from the WHO LMS parameters; the tree is therefore justified only where such computation is unavailable, since at the reported operating point it clears 21.80% of high-risk children that an exact computation would flag."</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Klaim deployment tidak sesuai formulir GENY v0.1.0: tidak ada usia kehamilan, klasifikasi wilayah, item TBC ibu; air minum biner; sanitasi berupa jenis kloset (bukan B6R11); peran pengguna Ibu/Orang Tua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IV.F: "where cadres enter the nine fields through a guided form and the returned band drives feeding modification or referral."</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IV.F: "where the current application form (v0.1.0) records a simplified subset of these fields; aligning the form with the nine training fields is a prerequisite for deploying this model, after which the returned band drives feeding modification or referral." (Bila ada versi formulir terbaru yang memuat sembilan field, lampirkan buktinya dan pertahankan kalimat lama.)</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K6</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Algoritma salah deskripsi: model adalah scikit-learn CART (split biner berambang, terlihat di Gambar 1), bukan ID3/C4.5 multi-cabang; persamaan (2) menjumlahkan semua nilai atribut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III.B: "selecting at each node the attribute that best separates the classes; in the ID3 and C4.5 family this is guided by entropy and information gain [24]."</w:t>
            </w:r>
          </w:p>
          <w:p>
            <w:r>
              <w:rPr>
                <w:b w:val="false"/>
                <w:bCs w:val="false"/>
                <w:sz w:val="18"/>
                <w:szCs w:val="18"/>
              </w:rPr>
              <w:t xml:space="preserve">Pers. (2): IG(S, A) = H(S) − Σv |Sv|/|S| H(Sv)</w:t>
            </w:r>
          </w:p>
        </w:tc>
        <w:tc>
          <w:tcPr>
            <w:tcW w:type="dxa" w:w="33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III.B: "selecting at each node the attribute and threshold that best separate the classes; the implementation is the scikit-learn CART algorithm with the entropy criterion, which evaluates binary threshold splits by information gain [24]."</w:t>
            </w:r>
          </w:p>
          <w:p>
            <w:r>
              <w:rPr>
                <w:b w:val="false"/>
                <w:bCs w:val="false"/>
                <w:sz w:val="18"/>
                <w:szCs w:val="18"/>
              </w:rPr>
              <w:t xml:space="preserve">Pers. (2): IG(S, A, t) = H(S) − (|SL|/|S|) H(SL) − (|SR|/|S|) H(SR), dengan SL = {x ∈ S : xA ≤ t} dan SR = S \ SL. Pertimbangkan menambah rujukan Breiman dkk. (1984), Classification and Regression Trees.</w:t>
            </w:r>
          </w:p>
        </w:tc>
      </w:tr>
    </w:tbl>
    <w:p>
      <w:pPr>
        <w:spacing w:after="160" w:before="60"/>
      </w:pPr>
      <w:r>
        <w:rPr>
          <w:i/>
          <w:iCs/>
          <w:sz w:val="18"/>
          <w:szCs w:val="18"/>
        </w:rPr>
        <w:t xml:space="preserve">Tabel 4. Temuan kritis dengan teks sebelum dan sesudah.</w:t>
      </w:r>
    </w:p>
    <w:p>
      <w:pPr>
        <w:pStyle w:val="Heading1"/>
        <w:spacing w:after="140" w:before="300"/>
      </w:pPr>
      <w:r>
        <w:t xml:space="preserve">5. Temuan sedang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500"/>
        <w:gridCol w:w="3838"/>
      </w:tblGrid>
      <w:tr>
        <w:trPr>
          <w:tblHeader/>
        </w:trPr>
        <w:tc>
          <w:tcPr>
            <w:tcW w:type="dxa" w:w="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Kode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Lokasi</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Sebelum</w:t>
            </w:r>
          </w:p>
        </w:tc>
        <w:tc>
          <w:tcPr>
            <w:tcW w:type="dxa" w:w="38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Sesudah atau tindakan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III.A paragraf 3 dan III.D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2023 SKI data, split into several Socioeconomic and Nutritional feature files, will be merged by household ID. ... we select the important values that affect the prediction before performing advanced labeling." / "Next, the data will be divided..."</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Hapus paragraf III.A tersebut (mengulang paragraf sebelumnya, bertense masa depan, menyiratkan seleksi fitur yang tidak dijelaskan). III.D: "The data were divided..."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Tabel IV</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"Join balita, individu, and rumahtangga on the mother/household key (IDRT)" / "Map empty entries to an explicit missing category via a safe ordinal encoder."</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"Join ... on the household key (IDRT)" / "Impute empty numeric entries with the column median; map empty categorical entries to an explicit missing category."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IV.A</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"'individual' (representing each woman or mother), and 'rumahtangga' (household) (representing the social status of households)"</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"'individu' (all household members, from which maternal records are drawn) and 'rumahtangga' (household water and sanitation characteristics)"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IV.C interpretasi PPV</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 positive predictive value of 92.76% indicates that cadre effort spent on flagged children is rarely misdirected"</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"In this sample, where 56.19% of test children fall in the at-risk band, a positive predictive value of 92.76% indicates that flagged children are rarely misdirected; because predictive values depend on prevalence [27], the figure will be lower where the at-risk share is smaller."</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 Introduction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"...anthropometric, maternal, environmental and socioeconomic fields available at the Posyandu are combined..."</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"...anthropometric, perinatal, maternal and environmental fields available at the Posyandu are combined..." (tidak ada prediktor sosial ekonomi)</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Kecocokan rujukan dan isi</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 untuk dampak stunting global; [5] untuk interpretabilitas pohon; [22] untuk sifat data medis dan sumber data mikro; [23] untuk dasar imputasi median; [26] kalimat MP-ASI; [11] "similar accuracy ceilings"; [14] GWO-TSK</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 ganti [1]; [5] ganti [24] atau [10]; [22] ganti [4] untuk sumber data; [23] ubah menjadi "single imputation such as median substitution understates uncertainty [23]"; hapus kalimat MP-ASI dan [26]; [11] ubah menjadi "reported accuracies vary widely with dataset and resampling [11]"; pertimbangkan hapus [14]; tambahkan pembanding langsung [9]: SKI 2023, 86.364 observasi, Decision Tree 0,66 dan stacking 0,79</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Gambar 1 dan IV.D</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Label "TB" (tinggi badan); "The first four levels alternate exclusively between measured height and child age"</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Ganti "TB" dengan "height" (bertabrakan dengan TB tuberkulosis); "The first four levels split exclusively on measured height and child age" (cabang kanan memuat dua split tinggi berturut-turut)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Persamaan (1)</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p^i log2 p^i (superskrip)</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pi log2 pi (subskrip)</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S9</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Pembulatan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Macro precision 0,7674; weighted F1 0,7468</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0,7675 dan 0,7467, setelah dikonfirmasi dari keluaran program presisi penuh</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Jejak program</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Tabel X (RF 0,9413; GB 0,9461; LR 0,6859; tanpa tinggi dan usia 0,3938); LILA 186.921 ibu, 6,7%</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Arsipkan skrip dan log keluaran ke project; angka ini tidak tercatat dalam catatan V6 yang dapat diakses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Metadata rujukan</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[6], [16], [19], [21], [2], [7]</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Lihat Bagian 6</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III.C penjelasan merge</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"because the linkage selects the spouse of the household head, absent in about one quarter of households"</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"because the linkage selects the spouse of the household head; the reasons for non-linkage were not examined."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III.C cakupan nasional</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data are SKI 2023 microdata released by the Ministry of Health [22]."</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"The data are national SKI 2023 microdata released by the Ministry of Health, covering children under five in 38 provinces and 514 districts/cities [4]."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 target nasional</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"above the national target of 14% [4]"</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"above the 2024 national target of 14% set in the 2020–2024 RPJMN" dengan rujukan Perpres 18/2020; target RPJMN 2025–2029 adalah 14,2% pada 2029</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Administratif</w:t>
            </w:r>
          </w:p>
        </w:tc>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Judul baru; 6 kata kunci; "Mohammad Gibran Khalilullah"; penulis tambahan Dimas Adiputra; tidak ada pernyataan etika dan ketersediaan data</w:t>
            </w:r>
          </w:p>
        </w:tc>
        <w:tc>
          <w:tcPr>
            <w:tcW w:type="dxa" w:w="3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Konfirmasi judul ke Bu Pima; sesuaikan jumlah kata kunci dengan keputusan tim; konfirmasi ejaan nama dan persetujuan penulis; tambah pernyataan perolehan data SKI 2023 dan persetujuan etik untuk data aplikasi (isi sesuai prosedur yang benar-benar ditempuh)</w:t>
            </w:r>
          </w:p>
        </w:tc>
      </w:tr>
    </w:tbl>
    <w:p>
      <w:pPr>
        <w:spacing w:after="160" w:before="60"/>
      </w:pPr>
      <w:r>
        <w:rPr>
          <w:i/>
          <w:iCs/>
          <w:sz w:val="18"/>
          <w:szCs w:val="18"/>
        </w:rPr>
        <w:t xml:space="preserve">Tabel 5. Temuan sedang.</w:t>
      </w:r>
    </w:p>
    <w:p>
      <w:pPr>
        <w:pStyle w:val="Heading1"/>
        <w:spacing w:after="140" w:before="300"/>
      </w:pPr>
      <w:r>
        <w:t xml:space="preserve">6. Verifikasi rujukan</w:t>
      </w:r>
    </w:p>
    <w:p>
      <w:pPr>
        <w:spacing w:after="120" w:line="276"/>
        <w:jc w:val="both"/>
      </w:pPr>
      <w:r>
        <w:t xml:space="preserve">Kategori status: </w:t>
      </w:r>
      <w:r>
        <w:rPr>
          <w:b/>
          <w:bCs/>
        </w:rPr>
        <w:t xml:space="preserve">Terverifikasi</w:t>
      </w:r>
      <w:r>
        <w:t xml:space="preserve"> (keberadaan dan metadata dicek di sesi ini), </w:t>
      </w:r>
      <w:r>
        <w:rPr>
          <w:b/>
          <w:bCs/>
        </w:rPr>
        <w:t xml:space="preserve">Dikenal</w:t>
      </w:r>
      <w:r>
        <w:t xml:space="preserve"> (rujukan klasik atau dokumen resmi, tidak dicek ulang), </w:t>
      </w:r>
      <w:r>
        <w:rPr>
          <w:b/>
          <w:bCs/>
        </w:rPr>
        <w:t xml:space="preserve">Belum</w:t>
      </w:r>
      <w:r>
        <w:t xml:space="preserve"> (belum diverifikasi), </w:t>
      </w:r>
      <w:r>
        <w:rPr>
          <w:b/>
          <w:bCs/>
        </w:rPr>
        <w:t xml:space="preserve">Bermasalah</w:t>
      </w:r>
      <w:r>
        <w:t xml:space="preserve"> (metadata tidak cocok).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500"/>
        <w:gridCol w:w="4838"/>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No.</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Rujukan</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Status</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Catatan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 Onis &amp; Branca 2016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 untuk dampak stunting; dapat menggantikan [3] di Pendahuluan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WHO LMS Length/Height-for-Age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Tahun 2023 perlu dicek; standar terbit 2006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Arief dkk. 2025, JMIR Pediatr Parent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Studi determinan SKI 2023 (n=78.049); tidak cocok untuk klaim dampak global dan upaya dunia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SKI 2023 Dalam Angka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Laporan BKPK tersedia</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Herawati &amp; Sunjaya 2022, IJERPH 19(20):13591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Studi kualitatif implementasi kebijakan di Cirebon (172 responden); tidak mendukung klaim interpretabilitas pohon</w:t>
            </w:r>
          </w:p>
        </w:tc>
      </w:tr>
      <w:tr>
        <w:trPr>
          <w:cantSplit/>
        </w:trPr>
        <w:tc>
          <w:tcPr>
            <w:tcW w:type="dxa" w:w="700"/>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[6]</w:t>
            </w:r>
          </w:p>
        </w:tc>
        <w:tc>
          <w:tcPr>
            <w:tcW w:type="dxa" w:w="2600"/>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Swastina dkk. 2025, J. Applied Data Sciences</w:t>
            </w:r>
          </w:p>
        </w:tc>
        <w:tc>
          <w:tcPr>
            <w:tcW w:type="dxa" w:w="1500"/>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Bermasalah</w:t>
            </w:r>
          </w:p>
        </w:tc>
        <w:tc>
          <w:tcPr>
            <w:tcW w:type="dxa" w:w="4838"/>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Bentuk yang dikutip tidak ditemukan. Yang ditemukan: Swastina L, Rahmatullah B, Saad A, Khan H, "A systematic review on research trends, datasets, algorithms, and frameworks of children's nutritional status prediction," IAES IJ-AI 13(2):1868–1877, 2024, doi 10.11591/ijai.v13.i2.pp1868-1877. Judul "(2020–2024)" mirip Indrisari dkk. 2025, J. SISFOKOM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[7]</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Arum dkk. 2025, Transformatika 23(1):67–76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 sebagian</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Artikel dan DOI ada; situs jurnal mencatat penulis pertama Dhika Malita, pihak lain mengutip D. M. Puspita; cek nama penulis pertama</w:t>
            </w:r>
          </w:p>
        </w:tc>
      </w:tr>
      <w:tr>
        <w:trPr>
          <w:cantSplit/>
        </w:trPr>
        <w:tc>
          <w:tcPr>
            <w:tcW w:type="dxa" w:w="7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[8]</w:t>
            </w:r>
          </w:p>
        </w:tc>
        <w:tc>
          <w:tcPr>
            <w:tcW w:type="dxa" w:w="26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Fadhilah &amp; Gunawan 2024, COMNETSAT</w:t>
            </w:r>
          </w:p>
        </w:tc>
        <w:tc>
          <w:tcPr>
            <w:tcW w:type="dxa" w:w="15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Belum</w:t>
            </w:r>
          </w:p>
        </w:tc>
        <w:tc>
          <w:tcPr>
            <w:tcW w:type="dxa" w:w="4838"/>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DOI tercantum; perlu dicek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[9]</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Erda dkk. 2024, ICon EEI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Memakai SKI 2023 (86.364 observasi, 19 variabel); DT 0,66, stacking 0,79. Pembanding paling langsung, belum dimanfaatkan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[10]</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Bimawan dkk. 2024, Jutif 5(6):1599–1607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Akurasi DT 0,9991 pada data antropometri; lebih tepat dikutip untuk akurasi sangat tinggi pada data status gizi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[11]</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Novalina dkk. 2025, BEEI</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IFLS 1.561 rekaman; akurasi 78,91% sampai 96,17%; tidak mendukung "similar accuracy ceilings"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Rao dkk. 2025, IJERPH</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Pooled accuracy stunting 68,92%: cocok</w:t>
            </w:r>
          </w:p>
        </w:tc>
      </w:tr>
      <w:tr>
        <w:trPr>
          <w:cantSplit/>
        </w:trPr>
        <w:tc>
          <w:tcPr>
            <w:tcW w:type="dxa" w:w="7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[13]</w:t>
            </w:r>
          </w:p>
        </w:tc>
        <w:tc>
          <w:tcPr>
            <w:tcW w:type="dxa" w:w="26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Ananda &amp; Sriani 2024, JTSI</w:t>
            </w:r>
          </w:p>
        </w:tc>
        <w:tc>
          <w:tcPr>
            <w:tcW w:type="dxa" w:w="15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Belum</w:t>
            </w:r>
          </w:p>
        </w:tc>
        <w:tc>
          <w:tcPr>
            <w:tcW w:type="dxa" w:w="4838"/>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Perlu dicek</w:t>
            </w:r>
          </w:p>
        </w:tc>
      </w:tr>
      <w:tr>
        <w:trPr>
          <w:cantSplit/>
        </w:trPr>
        <w:tc>
          <w:tcPr>
            <w:tcW w:type="dxa" w:w="7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[14]</w:t>
            </w:r>
          </w:p>
        </w:tc>
        <w:tc>
          <w:tcPr>
            <w:tcW w:type="dxa" w:w="26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Elghamrawy &amp; Hassanien 2022, Neural Comput Appl</w:t>
            </w:r>
          </w:p>
        </w:tc>
        <w:tc>
          <w:tcPr>
            <w:tcW w:type="dxa" w:w="1500"/>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Belum</w:t>
            </w:r>
          </w:p>
        </w:tc>
        <w:tc>
          <w:tcPr>
            <w:tcW w:type="dxa" w:w="4838"/>
            <w:tcBorders>
              <w:top w:val="single" w:color="BFBFBF" w:sz="4"/>
              <w:left w:val="single" w:color="BFBFBF" w:sz="4"/>
              <w:bottom w:val="single" w:color="BFBFBF" w:sz="4"/>
              <w:right w:val="single" w:color="BFBFBF" w:sz="4"/>
            </w:tcBorders>
            <w:shd w:fill="FFF4CC" w:color="auto" w:val="clear"/>
            <w:tcMar>
              <w:top w:type="dxa" w:w="60"/>
              <w:left w:type="dxa" w:w="90"/>
              <w:bottom w:type="dxa" w:w="60"/>
              <w:right w:type="dxa" w:w="90"/>
            </w:tcMar>
          </w:tcPr>
          <w:p>
            <w:r>
              <w:rPr>
                <w:b w:val="false"/>
                <w:bCs w:val="false"/>
                <w:sz w:val="18"/>
                <w:szCs w:val="18"/>
              </w:rPr>
              <w:t xml:space="preserve">Relevansi lemah terhadap paper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[15]</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Ellis dkk. 2025, npj Digit Med 8:81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700"/>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[16]</w:t>
            </w:r>
          </w:p>
        </w:tc>
        <w:tc>
          <w:tcPr>
            <w:tcW w:type="dxa" w:w="2600"/>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Luijken dkk. 2024, Biometrical Journal</w:t>
            </w:r>
          </w:p>
        </w:tc>
        <w:tc>
          <w:tcPr>
            <w:tcW w:type="dxa" w:w="1500"/>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Bermasalah</w:t>
            </w:r>
          </w:p>
        </w:tc>
        <w:tc>
          <w:tcPr>
            <w:tcW w:type="dxa" w:w="4838"/>
            <w:tcBorders>
              <w:top w:val="single" w:color="BFBFBF" w:sz="4"/>
              <w:left w:val="single" w:color="BFBFBF" w:sz="4"/>
              <w:bottom w:val="single" w:color="BFBFBF" w:sz="4"/>
              <w:right w:val="single" w:color="BFBFBF" w:sz="4"/>
            </w:tcBorders>
            <w:shd w:fill="FDE9E7" w:color="auto" w:val="clear"/>
            <w:tcMar>
              <w:top w:type="dxa" w:w="60"/>
              <w:left w:type="dxa" w:w="90"/>
              <w:bottom w:type="dxa" w:w="60"/>
              <w:right w:type="dxa" w:w="90"/>
            </w:tcMar>
          </w:tcPr>
          <w:p>
            <w:r>
              <w:rPr>
                <w:b w:val="false"/>
                <w:bCs w:val="false"/>
                <w:sz w:val="18"/>
                <w:szCs w:val="18"/>
              </w:rPr>
              <w:t xml:space="preserve">Artikel berjudul identik: Biometrical Journal 66(8), e70011, doi 10.1002/bimj.70011, 17 penulis (Luijken, Morzywołek, ..., van Geloven), tanpa I. Gravestock. Paper mencantumkan no. 7, e202300356, doi 10.1002/bimj.202300356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[17]</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Rose 1985, Int J Epidemiol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[18]</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Vickers &amp; Elkin 2006, Med Decis Making</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[19]</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Zhao dkk. 2024, Postgrad Med J</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 sebagian</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Judul ada (2024); daftar penulis dan halaman belum terverifikasi; ganti "and others" dengan "et 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[20]</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de Onis 2006, Acta Paediatrica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[21]</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Nichols dkk. 2012, Public Health Nutr 15(6):1015–22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 ganti "and others" dengan "E. K. Nichols et 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[22]</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Laporan SKI Tematik 2023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Dokumen ada; dipakai untuk klaim yang tidak didukung (S6)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[23]</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Sterne dkk. 2009, BMJ</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Menganjurkan multiple imputation; bertentangan dengan pemakaiannya sebagai dasar imputasi median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[24]</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Quinlan 1993, C4.5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 untuk entropi; implementasi bukan C4.5 (K6)</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[25]</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Martorell &amp; Young 2012, Adv Nutr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[26]</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WHO Complementary Feeding Guideline 2023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Kalimat terkait tidak relevan dengan sembilan prediktor; hapus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[27]</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Rogers dkk., Exp Biol Med 249:10341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Terverifikasi</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Terbit 8 Januari 2025 pada volume 249 (2024); mendukung klaim PPV bergantung prevalensi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[28]</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Leroy &amp; Frongillo 2019, Adv Nutr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Dikenal</w:t>
            </w:r>
          </w:p>
        </w:tc>
        <w:tc>
          <w:tcPr>
            <w:tcW w:type="dxa" w:w="48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Cocok</w:t>
            </w:r>
          </w:p>
        </w:tc>
      </w:tr>
    </w:tbl>
    <w:p>
      <w:pPr>
        <w:spacing w:after="160" w:before="60"/>
      </w:pPr>
      <w:r>
        <w:rPr>
          <w:i/>
          <w:iCs/>
          <w:sz w:val="18"/>
          <w:szCs w:val="18"/>
        </w:rPr>
        <w:t xml:space="preserve">Tabel 6. Verifikasi 28 rujukan. Baris merah: metadata bermasalah. Baris kuning: belum diverifikasi.</w:t>
      </w:r>
    </w:p>
    <w:p>
      <w:pPr>
        <w:pStyle w:val="Heading1"/>
        <w:spacing w:after="140" w:before="300"/>
      </w:pPr>
      <w:r>
        <w:t xml:space="preserve">7. Klasifikasi riset, PICO, dan plausibility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Dimensi</w:t>
            </w:r>
          </w:p>
        </w:tc>
        <w:tc>
          <w:tcPr>
            <w:tcW w:type="dxa" w:w="385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Klasifikasi paper</w:t>
            </w:r>
          </w:p>
        </w:tc>
        <w:tc>
          <w:tcPr>
            <w:tcW w:type="dxa" w:w="385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Konsekuensi untuk klaim</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Purpose</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Terapan: pengembangan dan evaluasi alat skrining</w:t>
            </w:r>
          </w:p>
        </w:tc>
        <w:tc>
          <w:tcPr>
            <w:tcW w:type="dxa" w:w="3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Klaim harus pada kinerja dan nilai guna, bukan determinan</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Nature</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Kuantitatif, data sekunder survei kompleks</w:t>
            </w:r>
          </w:p>
        </w:tc>
        <w:tc>
          <w:tcPr>
            <w:tcW w:type="dxa" w:w="3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Metrik tidak berbobot; generalisasi terbatas pada sampel</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Time horizon</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Cross-sectional (Agustus sampai November 2023)</w:t>
            </w:r>
          </w:p>
        </w:tc>
        <w:tc>
          <w:tcPr>
            <w:tcW w:type="dxa" w:w="3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Tidak ada validasi temporal atau eksternal</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Manipulation</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Non-eksperimental</w:t>
            </w:r>
          </w:p>
        </w:tc>
        <w:tc>
          <w:tcPr>
            <w:tcW w:type="dxa" w:w="385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Tidak ada klaim efek intervensi aplikasi</w:t>
            </w:r>
          </w:p>
        </w:tc>
      </w:tr>
    </w:tbl>
    <w:p>
      <w:pPr>
        <w:spacing w:after="160" w:before="60"/>
      </w:pPr>
      <w:r>
        <w:rPr>
          <w:i/>
          <w:iCs/>
          <w:sz w:val="18"/>
          <w:szCs w:val="18"/>
        </w:rPr>
        <w:t xml:space="preserve">Tabel 7. Empat klasifikasi riset.</w:t>
      </w:r>
    </w:p>
    <w:p>
      <w:pPr>
        <w:spacing w:after="120" w:line="276"/>
        <w:jc w:val="both"/>
      </w:pPr>
      <w:r>
        <w:rPr>
          <w:b/>
          <w:bCs/>
        </w:rPr>
        <w:t xml:space="preserve">PICO.</w:t>
      </w:r>
      <w:r>
        <w:t xml:space="preserve"> P: 304.193 balita SKI 2023. I: Decision Tree entropi kedalaman 8. C: baseline mayoritas, Random Forest, gradient boosting, regresi logistik, dan model tanpa tinggi dan usia. O: accuracy, F1, sensitivitas, spesifisitas, PPV, NPV.</w:t>
      </w:r>
    </w:p>
    <w:p>
      <w:pPr>
        <w:spacing w:after="120" w:line="276"/>
        <w:jc w:val="both"/>
      </w:pPr>
      <w:r>
        <w:rPr>
          <w:b/>
          <w:bCs/>
        </w:rPr>
        <w:t xml:space="preserve">Plausibility review.</w:t>
      </w:r>
      <w:r>
        <w:t xml:space="preserve"> (a) Alur logika Pendahuluan ke Kesimpulan konsisten dengan framing "aproksimasi batas WHO". (b) Ensemble 0,94 sampai 0,95, bukan 1,0, masuk akal karena HAZ dihitung dari usia dalam hari dan koreksi posisi ukur, sedangkan model memakai usia dalam bulan penuh; paper dapat menambahkan penjelasan ini. (c) Regresi logistik 0,6859 di bawah pohon konsisten dengan batas keputusan non-linear. (d) Perbandingan model IV.E tidak setara karena lima hal berubah sekaligus (K2). (e) PPV 92,76% berlaku untuk porsi berisiko 56,19% di data uji (S4). (f) Kalimat MP-ASI tidak terhubung ke sembilan prediktor (S6).</w:t>
      </w:r>
    </w:p>
    <w:p>
      <w:pPr>
        <w:pStyle w:val="Heading1"/>
        <w:spacing w:after="140" w:before="300"/>
      </w:pPr>
      <w:r>
        <w:t xml:space="preserve">8. Rencana operasional perbaikan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700"/>
        <w:gridCol w:w="2638"/>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Urutan</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Kegiatan</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Butir</w:t>
            </w:r>
          </w:p>
        </w:tc>
        <w:tc>
          <w:tcPr>
            <w:tcW w:type="dxa" w:w="2638"/>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r>
              <w:rPr>
                <w:b/>
                <w:bCs/>
                <w:color w:val="FFFFFF"/>
                <w:sz w:val="18"/>
                <w:szCs w:val="18"/>
              </w:rPr>
              <w:t xml:space="preserve">Gerbang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Konfirmasi ke panitia IBITeC bahwa revisi setelah PDF eXpress diizinkan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Semua</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Izin tertulis atau tenggat revisi diketahui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1</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Koreksi klaim yang salah fakta</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K1, K3, K5, K6, S2, S3, S9, S13</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Setiap kalimat cocok dengan program, tabel, dan aplikasi</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Koreksi argumen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K2, K4, S4, S5, S12</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Tidak ada atribusi sebab dari perbandingan tidak setara</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3</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Rapikan rujukan dan format</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S6, S7, S8, S11, S14; [6], [16]</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28 rujukan terverifikasi; format IEEE seragam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4</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Administratif</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S1, S10, S15</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Judul, penulis, kata kunci disetujui; log program diarsipkan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5</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Sertifikasi ulang</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Semua</w:t>
            </w:r>
          </w:p>
        </w:tc>
        <w:tc>
          <w:tcPr>
            <w:tcW w:type="dxa" w:w="26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18"/>
                <w:szCs w:val="18"/>
              </w:rPr>
              <w:t xml:space="preserve">PDF lolos IEEE PDF eXpress</w:t>
            </w:r>
          </w:p>
        </w:tc>
      </w:tr>
    </w:tbl>
    <w:p>
      <w:pPr>
        <w:spacing w:after="160" w:before="60"/>
      </w:pPr>
      <w:r>
        <w:rPr>
          <w:i/>
          <w:iCs/>
          <w:sz w:val="18"/>
          <w:szCs w:val="18"/>
        </w:rPr>
        <w:t xml:space="preserve">Tabel 8. Urutan kerja. Aturan project GENY tetap berlaku: keluaran program, lalu tabel, lalu paragraf.</w:t>
      </w:r>
    </w:p>
    <w:p>
      <w:pPr>
        <w:spacing w:after="120" w:line="276"/>
        <w:jc w:val="both"/>
      </w:pPr>
      <w:r>
        <w:t xml:space="preserve">Catatan: aturan stabilo kuning Bu Pima berlaku untuk draf internal. Untuk berkas camera-ready IEEE, perubahan tidak boleh disertai stabilo; gunakan salinan terpisah bertanda kuning untuk persetujuan internal sebelum membuat versi bersih.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Halaman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Audit Paper GENY, draf 19 Agustus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2026-09-26T04:09:10.911Z</dcterms:created>
  <dcterms:modified xsi:type="dcterms:W3CDTF">2026-09-26T04:09:10.921Z</dcterms:modified>
</cp:coreProperties>
</file>

<file path=docProps/custom.xml><?xml version="1.0" encoding="utf-8"?>
<Properties xmlns="http://schemas.openxmlformats.org/officeDocument/2006/custom-properties" xmlns:vt="http://schemas.openxmlformats.org/officeDocument/2006/docPropsVTypes"/>
</file>