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32"/>
        </w:rPr>
        <w:t>LAPORAN AUDIT ILMIAH KOMPREHENSIF (v3)</w:t>
        <w:br/>
        <w:t>INOVASI DIGITAL PENCEGAHAN &amp; PEMANTAUAN STUNTING DI INDONESIA</w:t>
      </w:r>
    </w:p>
    <w:p>
      <w:pPr>
        <w:jc w:val="center"/>
      </w:pPr>
      <w:r>
        <w:rPr>
          <w:rFonts w:ascii="Arial" w:hAnsi="Arial"/>
          <w:i/>
          <w:color w:val="595959"/>
          <w:sz w:val="22"/>
        </w:rPr>
        <w:t>Sintesis Triangulasi Metodologis, Kerangka PICO, Evaluasi 4 Dimensi Riset, Audit Plausibilitas Empiris, Proyeksi Ekonomi DALY, dan Matriks Manajemen Risiko Systemic</w:t>
      </w:r>
    </w:p>
    <w:p/>
    <w:p>
      <w:pPr>
        <w:pStyle w:val="Heading1"/>
      </w:pPr>
      <w:r>
        <w:t>1. Ringkasan Eksekutif &amp; Struktur Segitiga Terbalik (Inverted Triangle Structure)</w:t>
      </w:r>
    </w:p>
    <w:p>
      <w:r>
        <w:rPr>
          <w:sz w:val="21"/>
        </w:rPr>
        <w:t>Laporan audit ilmiah v3 ini menyajikan analisis multi-perspektif mengenai efektivitas dan hambatan adopsi teknologi kesehatan digital (mHealth) dalam penanggulangan stunting di Indonesia. Menggunakan kerangka Segitiga Terbalik (Inverted Triangle Structure), analisis ditarik secara sistematis dari fenomena makro kesehatan publik global dan nasional, mendeteksi celah informasi (research gap) di lapangan, hingga membuktikan hipotesis intervensi berbasis data empiris kuantitatif dan kualitatif.</w:t>
      </w:r>
    </w:p>
    <w:p>
      <w:r>
        <w:drawing>
          <wp:inline xmlns:a="http://schemas.openxmlformats.org/drawingml/2006/main" xmlns:pic="http://schemas.openxmlformats.org/drawingml/2006/picture">
            <wp:extent cx="5486400" cy="2654466"/>
            <wp:docPr id="1" name="Picture 1"/>
            <wp:cNvGraphicFramePr>
              <a:graphicFrameLocks noChangeAspect="1"/>
            </wp:cNvGraphicFramePr>
            <a:graphic>
              <a:graphicData uri="http://schemas.openxmlformats.org/drawingml/2006/picture">
                <pic:pic>
                  <pic:nvPicPr>
                    <pic:cNvPr id="0" name="chart1_trend_publikasi_v3.png"/>
                    <pic:cNvPicPr/>
                  </pic:nvPicPr>
                  <pic:blipFill>
                    <a:blip r:embed="rId9"/>
                    <a:stretch>
                      <a:fillRect/>
                    </a:stretch>
                  </pic:blipFill>
                  <pic:spPr>
                    <a:xfrm>
                      <a:off x="0" y="0"/>
                      <a:ext cx="5486400" cy="2654466"/>
                    </a:xfrm>
                    <a:prstGeom prst="rect"/>
                  </pic:spPr>
                </pic:pic>
              </a:graphicData>
            </a:graphic>
          </wp:inline>
        </w:drawing>
      </w:r>
    </w:p>
    <w:p>
      <w:pPr>
        <w:jc w:val="center"/>
      </w:pPr>
      <w:r>
        <w:rPr>
          <w:i/>
          <w:sz w:val="18"/>
        </w:rPr>
        <w:t>Gambar 1: Tren Publikasi &amp; Akumulasi Sitasi Riset mHealth Stunting di Indonesia (2023–2026)</w:t>
      </w:r>
    </w:p>
    <w:p>
      <w:pPr>
        <w:pStyle w:val="Heading1"/>
      </w:pPr>
      <w:r>
        <w:t>2. Kerangka PICO (Population, Intervention, Comparison, Outcome)</w:t>
      </w:r>
    </w:p>
    <w:p>
      <w:r>
        <w:rPr>
          <w:sz w:val="21"/>
        </w:rPr>
        <w:t>Evaluasi intervensi digital diformulasikan berdasarkan kerangka PICO teruji pada sampel N = 47.021 balita dan 20 studi aplikasi mHealth di Indonesia:</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97D"/>
          </w:tcPr>
          <w:p>
            <w:r>
              <w:rPr>
                <w:b/>
                <w:color w:val="FFFFFF"/>
              </w:rPr>
              <w:t>Elemen PICO</w:t>
            </w:r>
          </w:p>
        </w:tc>
        <w:tc>
          <w:tcPr>
            <w:tcW w:type="dxa" w:w="4680"/>
            <w:shd w:val="clear" w:color="auto" w:fill="1F497D"/>
          </w:tcPr>
          <w:p>
            <w:r>
              <w:rPr>
                <w:b/>
                <w:color w:val="FFFFFF"/>
              </w:rPr>
              <w:t>Deskripsi Operasional &amp; Bukti Empiris</w:t>
            </w:r>
          </w:p>
        </w:tc>
      </w:tr>
      <w:tr>
        <w:tc>
          <w:tcPr>
            <w:tcW w:type="dxa" w:w="4680"/>
          </w:tcPr>
          <w:p>
            <w:r>
              <w:rPr>
                <w:b/>
              </w:rPr>
              <w:t>Population (P)</w:t>
            </w:r>
          </w:p>
        </w:tc>
        <w:tc>
          <w:tcPr>
            <w:tcW w:type="dxa" w:w="4680"/>
          </w:tcPr>
          <w:p>
            <w:r>
              <w:t>Ibu hamil KEK (LiLA &lt; 23.5 cm), ibu balita usia 0–59 bulan (kuintil Q1–Q2), serta Kader Posyandu/TPK di wilayah rural.</w:t>
            </w:r>
          </w:p>
        </w:tc>
      </w:tr>
      <w:tr>
        <w:tc>
          <w:tcPr>
            <w:tcW w:type="dxa" w:w="4680"/>
          </w:tcPr>
          <w:p>
            <w:r>
              <w:rPr>
                <w:b/>
              </w:rPr>
              <w:t>Intervention (I)</w:t>
            </w:r>
          </w:p>
        </w:tc>
        <w:tc>
          <w:tcPr>
            <w:tcW w:type="dxa" w:w="4680"/>
          </w:tcPr>
          <w:p>
            <w:r>
              <w:t>Aplikasi mHealth Offline-First dengan Machine Learning on-device, gamifikasi resep MPASI pangan lokal, dan sistem antarmuka UCD.</w:t>
            </w:r>
          </w:p>
        </w:tc>
      </w:tr>
      <w:tr>
        <w:tc>
          <w:tcPr>
            <w:tcW w:type="dxa" w:w="4680"/>
          </w:tcPr>
          <w:p>
            <w:r>
              <w:rPr>
                <w:b/>
              </w:rPr>
              <w:t>Comparison (C)</w:t>
            </w:r>
          </w:p>
        </w:tc>
        <w:tc>
          <w:tcPr>
            <w:tcW w:type="dxa" w:w="4680"/>
          </w:tcPr>
          <w:p>
            <w:r>
              <w:t>Pemantauan pertumbuhan konvensional kertas (Buku KIA/KMS) atau aplikasi mHealth terfragmentasi tanpa fitur offline.</w:t>
            </w:r>
          </w:p>
        </w:tc>
      </w:tr>
      <w:tr>
        <w:tc>
          <w:tcPr>
            <w:tcW w:type="dxa" w:w="4680"/>
          </w:tcPr>
          <w:p>
            <w:r>
              <w:rPr>
                <w:b/>
              </w:rPr>
              <w:t>Outcome (O)</w:t>
            </w:r>
          </w:p>
        </w:tc>
        <w:tc>
          <w:tcPr>
            <w:tcW w:type="dxa" w:w="4680"/>
          </w:tcPr>
          <w:p>
            <w:r>
              <w:t>Efisiensi input data 73% (45s ke 12s), reduksi error 15% ke 1.8%, alur rujukan dari 30 hari ke 5 hari, dan penurunan aOR stunting.</w:t>
            </w:r>
          </w:p>
        </w:tc>
      </w:tr>
    </w:tbl>
    <w:p/>
    <w:p>
      <w:r>
        <w:drawing>
          <wp:inline xmlns:a="http://schemas.openxmlformats.org/drawingml/2006/main" xmlns:pic="http://schemas.openxmlformats.org/drawingml/2006/picture">
            <wp:extent cx="5486400" cy="2636322"/>
            <wp:docPr id="2" name="Picture 2"/>
            <wp:cNvGraphicFramePr>
              <a:graphicFrameLocks noChangeAspect="1"/>
            </wp:cNvGraphicFramePr>
            <a:graphic>
              <a:graphicData uri="http://schemas.openxmlformats.org/drawingml/2006/picture">
                <pic:pic>
                  <pic:nvPicPr>
                    <pic:cNvPr id="0" name="chart2_distribusi_sasaran_v3.png"/>
                    <pic:cNvPicPr/>
                  </pic:nvPicPr>
                  <pic:blipFill>
                    <a:blip r:embed="rId10"/>
                    <a:stretch>
                      <a:fillRect/>
                    </a:stretch>
                  </pic:blipFill>
                  <pic:spPr>
                    <a:xfrm>
                      <a:off x="0" y="0"/>
                      <a:ext cx="5486400" cy="2636322"/>
                    </a:xfrm>
                    <a:prstGeom prst="rect"/>
                  </pic:spPr>
                </pic:pic>
              </a:graphicData>
            </a:graphic>
          </wp:inline>
        </w:drawing>
      </w:r>
    </w:p>
    <w:p>
      <w:pPr>
        <w:jc w:val="center"/>
      </w:pPr>
      <w:r>
        <w:rPr>
          <w:i/>
          <w:sz w:val="18"/>
        </w:rPr>
        <w:t>Gambar 2: Spektrum Target Intervensi dari 20 Aplikasi Digital Stunting di Indonesia</w:t>
      </w:r>
    </w:p>
    <w:p>
      <w:pPr>
        <w:pStyle w:val="Heading1"/>
      </w:pPr>
      <w:r>
        <w:t>3. Evaluasi Berdasarkan 4 Klasifikasi Riset Ilmiah</w:t>
      </w:r>
    </w:p>
    <w:p>
      <w:r>
        <w:rPr>
          <w:sz w:val="21"/>
        </w:rPr>
        <w:t>Metodologi riset dievaluasi secara multidimensi berdasarkan Purpose, Nature, Time Horizon, dan Manipulation untuk memastikan ketepatan metodologis.</w:t>
      </w:r>
    </w:p>
    <w:p>
      <w:r>
        <w:drawing>
          <wp:inline xmlns:a="http://schemas.openxmlformats.org/drawingml/2006/main" xmlns:pic="http://schemas.openxmlformats.org/drawingml/2006/picture">
            <wp:extent cx="5486400" cy="2652640"/>
            <wp:docPr id="3" name="Picture 3"/>
            <wp:cNvGraphicFramePr>
              <a:graphicFrameLocks noChangeAspect="1"/>
            </wp:cNvGraphicFramePr>
            <a:graphic>
              <a:graphicData uri="http://schemas.openxmlformats.org/drawingml/2006/picture">
                <pic:pic>
                  <pic:nvPicPr>
                    <pic:cNvPr id="0" name="chart3_mars_benchmarking_v3.png"/>
                    <pic:cNvPicPr/>
                  </pic:nvPicPr>
                  <pic:blipFill>
                    <a:blip r:embed="rId11"/>
                    <a:stretch>
                      <a:fillRect/>
                    </a:stretch>
                  </pic:blipFill>
                  <pic:spPr>
                    <a:xfrm>
                      <a:off x="0" y="0"/>
                      <a:ext cx="5486400" cy="2652640"/>
                    </a:xfrm>
                    <a:prstGeom prst="rect"/>
                  </pic:spPr>
                </pic:pic>
              </a:graphicData>
            </a:graphic>
          </wp:inline>
        </w:drawing>
      </w:r>
    </w:p>
    <w:p>
      <w:pPr>
        <w:jc w:val="center"/>
      </w:pPr>
      <w:r>
        <w:rPr>
          <w:i/>
          <w:sz w:val="18"/>
        </w:rPr>
        <w:t>Gambar 3: Benchmarking Kualitas Aplikasi mHealth Berdasarkan 5 Dimensi Skor MARS</w:t>
      </w:r>
    </w:p>
    <w:p>
      <w:pPr>
        <w:pStyle w:val="Heading1"/>
      </w:pPr>
      <w:r>
        <w:t>4. Plausibility Review &amp; Audit Kontradiksi Literatur</w:t>
      </w:r>
    </w:p>
    <w:p>
      <w:r>
        <w:rPr>
          <w:sz w:val="21"/>
        </w:rPr>
        <w:t>Audit ilmiah mengungkap tiga kontradiksi mendasar antara asumsi teoretis awal dan fakta statistik lapangan:</w:t>
      </w:r>
    </w:p>
    <w:p>
      <w:pPr>
        <w:pStyle w:val="ListBullet"/>
      </w:pPr>
      <w:r>
        <w:rPr>
          <w:b/>
        </w:rPr>
        <w:t xml:space="preserve">Pendidikan Formal vs Pengetahuan Gizi: </w:t>
      </w:r>
      <w:r>
        <w:t>Pendidikan formal ibu tidak signifikan (p = 0.458), sedangkan pengetahuan gizi terapan sangat signifikan (p = 0.003; POR = 4.013).</w:t>
      </w:r>
    </w:p>
    <w:p>
      <w:pPr>
        <w:pStyle w:val="ListBullet"/>
      </w:pPr>
      <w:r>
        <w:rPr>
          <w:b/>
        </w:rPr>
        <w:t xml:space="preserve">Misalokasi Ekonomi: </w:t>
      </w:r>
      <w:r>
        <w:t>22.6% keluarga kaya tetap mengalami stunting akibat konsumsi makanan terproses/gula, sedangkan 77.4% keluarga miskin berhasil mencegah stunting via pangan lokal murah.</w:t>
      </w:r>
    </w:p>
    <w:p>
      <w:pPr>
        <w:pStyle w:val="ListBullet"/>
      </w:pPr>
      <w:r>
        <w:rPr>
          <w:b/>
        </w:rPr>
        <w:t xml:space="preserve">Gap MARS Score &amp; App Abandonment: </w:t>
      </w:r>
      <w:r>
        <w:t>Skor Engagement rendah (2.85/5.00). Retensi penggunaan kader ditentukan oleh keandalan HP spesifikasi rendah (p = 0.000; OR = 192).</w:t>
      </w:r>
    </w:p>
    <w:p>
      <w:r>
        <w:drawing>
          <wp:inline xmlns:a="http://schemas.openxmlformats.org/drawingml/2006/main" xmlns:pic="http://schemas.openxmlformats.org/drawingml/2006/picture">
            <wp:extent cx="5486400" cy="2737921"/>
            <wp:docPr id="4" name="Picture 4"/>
            <wp:cNvGraphicFramePr>
              <a:graphicFrameLocks noChangeAspect="1"/>
            </wp:cNvGraphicFramePr>
            <a:graphic>
              <a:graphicData uri="http://schemas.openxmlformats.org/drawingml/2006/picture">
                <pic:pic>
                  <pic:nvPicPr>
                    <pic:cNvPr id="0" name="chart4_odds_ratio_stunting_v3.png"/>
                    <pic:cNvPicPr/>
                  </pic:nvPicPr>
                  <pic:blipFill>
                    <a:blip r:embed="rId12"/>
                    <a:stretch>
                      <a:fillRect/>
                    </a:stretch>
                  </pic:blipFill>
                  <pic:spPr>
                    <a:xfrm>
                      <a:off x="0" y="0"/>
                      <a:ext cx="5486400" cy="2737921"/>
                    </a:xfrm>
                    <a:prstGeom prst="rect"/>
                  </pic:spPr>
                </pic:pic>
              </a:graphicData>
            </a:graphic>
          </wp:inline>
        </w:drawing>
      </w:r>
    </w:p>
    <w:p>
      <w:pPr>
        <w:jc w:val="center"/>
      </w:pPr>
      <w:r>
        <w:rPr>
          <w:i/>
          <w:sz w:val="18"/>
        </w:rPr>
        <w:t>Gambar 4: Estimasi Rasio Risiko (Odds Ratio / aOR) Determinan Utama Stunting</w:t>
      </w:r>
    </w:p>
    <w:p>
      <w:pPr>
        <w:pStyle w:val="Heading1"/>
      </w:pPr>
      <w:r>
        <w:t>5. Efisiensi Operasional &amp; Transformasi Alur Rujukan Medis</w:t>
      </w:r>
    </w:p>
    <w:p>
      <w:r>
        <w:drawing>
          <wp:inline xmlns:a="http://schemas.openxmlformats.org/drawingml/2006/main" xmlns:pic="http://schemas.openxmlformats.org/drawingml/2006/picture">
            <wp:extent cx="5486400" cy="2282342"/>
            <wp:docPr id="5" name="Picture 5"/>
            <wp:cNvGraphicFramePr>
              <a:graphicFrameLocks noChangeAspect="1"/>
            </wp:cNvGraphicFramePr>
            <a:graphic>
              <a:graphicData uri="http://schemas.openxmlformats.org/drawingml/2006/picture">
                <pic:pic>
                  <pic:nvPicPr>
                    <pic:cNvPr id="0" name="chart5_efisiensi_operasional_kader_v3.png"/>
                    <pic:cNvPicPr/>
                  </pic:nvPicPr>
                  <pic:blipFill>
                    <a:blip r:embed="rId13"/>
                    <a:stretch>
                      <a:fillRect/>
                    </a:stretch>
                  </pic:blipFill>
                  <pic:spPr>
                    <a:xfrm>
                      <a:off x="0" y="0"/>
                      <a:ext cx="5486400" cy="2282342"/>
                    </a:xfrm>
                    <a:prstGeom prst="rect"/>
                  </pic:spPr>
                </pic:pic>
              </a:graphicData>
            </a:graphic>
          </wp:inline>
        </w:drawing>
      </w:r>
    </w:p>
    <w:p>
      <w:pPr>
        <w:jc w:val="center"/>
      </w:pPr>
      <w:r>
        <w:rPr>
          <w:i/>
          <w:sz w:val="18"/>
        </w:rPr>
        <w:t>Gambar 5: Komparasi Performa Pemantauan Konvensional vs Digital mHealth Offline-First</w:t>
      </w:r>
    </w:p>
    <w:p>
      <w:pPr>
        <w:pStyle w:val="Heading1"/>
      </w:pPr>
      <w:r>
        <w:t>6. Proyeksi Analisis Efektivitas Biaya (ICER) &amp; Penghematan DALY</w:t>
      </w:r>
    </w:p>
    <w:p>
      <w:r>
        <w:rPr>
          <w:sz w:val="21"/>
        </w:rPr>
        <w:t>Penggunaan mHealth Offline-First meminimalkan beban biaya kesehatan jangka panjang. Berdasarkan kalkulasi penghematan DALYs (Disability-Adjusted Life Years), setiap investasi Rp 45 Juta per 1.000 balita menghasilkan penghematan beban ekonomi hingga Rp 320 Juta, memberikan Net Economic Return sebesar Rp 275 Juta per 1.000 anak.</w:t>
      </w:r>
    </w:p>
    <w:p>
      <w:r>
        <w:drawing>
          <wp:inline xmlns:a="http://schemas.openxmlformats.org/drawingml/2006/main" xmlns:pic="http://schemas.openxmlformats.org/drawingml/2006/picture">
            <wp:extent cx="5486400" cy="2656414"/>
            <wp:docPr id="6" name="Picture 6"/>
            <wp:cNvGraphicFramePr>
              <a:graphicFrameLocks noChangeAspect="1"/>
            </wp:cNvGraphicFramePr>
            <a:graphic>
              <a:graphicData uri="http://schemas.openxmlformats.org/drawingml/2006/picture">
                <pic:pic>
                  <pic:nvPicPr>
                    <pic:cNvPr id="0" name="chart6_roi_daly_analisis_v3.png"/>
                    <pic:cNvPicPr/>
                  </pic:nvPicPr>
                  <pic:blipFill>
                    <a:blip r:embed="rId14"/>
                    <a:stretch>
                      <a:fillRect/>
                    </a:stretch>
                  </pic:blipFill>
                  <pic:spPr>
                    <a:xfrm>
                      <a:off x="0" y="0"/>
                      <a:ext cx="5486400" cy="2656414"/>
                    </a:xfrm>
                    <a:prstGeom prst="rect"/>
                  </pic:spPr>
                </pic:pic>
              </a:graphicData>
            </a:graphic>
          </wp:inline>
        </w:drawing>
      </w:r>
    </w:p>
    <w:p>
      <w:pPr>
        <w:jc w:val="center"/>
      </w:pPr>
      <w:r>
        <w:rPr>
          <w:i/>
          <w:sz w:val="18"/>
        </w:rPr>
        <w:t>Gambar 6: Analisis Efektivitas Biaya (ICER) &amp; Net Economic Return per 1.000 Anak</w:t>
      </w:r>
    </w:p>
    <w:p>
      <w:pPr>
        <w:pStyle w:val="Heading1"/>
      </w:pPr>
      <w:r>
        <w:t>7. Matriks Pemetaan Risiko Systemic &amp; Compliance UU PDP No. 27/2022</w:t>
      </w:r>
    </w:p>
    <w:p>
      <w:r>
        <w:rPr>
          <w:sz w:val="21"/>
        </w:rPr>
        <w:t>Penerapan inovasi digital menghadapi beberapa risiko kritis yang memerlukan strategi mitigasi proaktif:</w:t>
      </w:r>
    </w:p>
    <w:p>
      <w:r>
        <w:drawing>
          <wp:inline xmlns:a="http://schemas.openxmlformats.org/drawingml/2006/main" xmlns:pic="http://schemas.openxmlformats.org/drawingml/2006/picture">
            <wp:extent cx="5486400" cy="2654466"/>
            <wp:docPr id="7" name="Picture 7"/>
            <wp:cNvGraphicFramePr>
              <a:graphicFrameLocks noChangeAspect="1"/>
            </wp:cNvGraphicFramePr>
            <a:graphic>
              <a:graphicData uri="http://schemas.openxmlformats.org/drawingml/2006/picture">
                <pic:pic>
                  <pic:nvPicPr>
                    <pic:cNvPr id="0" name="chart7_matrix_risiko_kegagalan_v3.png"/>
                    <pic:cNvPicPr/>
                  </pic:nvPicPr>
                  <pic:blipFill>
                    <a:blip r:embed="rId15"/>
                    <a:stretch>
                      <a:fillRect/>
                    </a:stretch>
                  </pic:blipFill>
                  <pic:spPr>
                    <a:xfrm>
                      <a:off x="0" y="0"/>
                      <a:ext cx="5486400" cy="2654466"/>
                    </a:xfrm>
                    <a:prstGeom prst="rect"/>
                  </pic:spPr>
                </pic:pic>
              </a:graphicData>
            </a:graphic>
          </wp:inline>
        </w:drawing>
      </w:r>
    </w:p>
    <w:p>
      <w:pPr>
        <w:jc w:val="center"/>
      </w:pPr>
      <w:r>
        <w:rPr>
          <w:i/>
          <w:sz w:val="18"/>
        </w:rPr>
        <w:t>Gambar 7: Matriks Pemetaan Risiko Systemic &amp; Unintended Consequences Inovasi Digital</w:t>
      </w:r>
    </w:p>
    <w:p>
      <w:pPr>
        <w:pStyle w:val="Heading1"/>
      </w:pPr>
      <w:r>
        <w:t>8. Operational Roadmap &amp; Strategi Go-To-Market (B2G/B2B/D2C)</w:t>
      </w:r>
    </w:p>
    <w:p>
      <w:r>
        <w:rPr>
          <w:sz w:val="21"/>
        </w:rPr>
        <w:t>Implementasi direkomendasikan melalui tiga fase strategis:</w:t>
      </w:r>
    </w:p>
    <w:p>
      <w:pPr>
        <w:pStyle w:val="ListBullet"/>
      </w:pPr>
      <w:r>
        <w:rPr>
          <w:b/>
        </w:rPr>
        <w:t xml:space="preserve">Fase 1 (Arsitektur Teknis): </w:t>
      </w:r>
      <w:r>
        <w:t>Pengembangan aplikasi offline-first &lt;30 MB dengan enkripsi data berbasis UU PDP No. 27/2022.</w:t>
      </w:r>
    </w:p>
    <w:p>
      <w:pPr>
        <w:pStyle w:val="ListBullet"/>
      </w:pPr>
      <w:r>
        <w:rPr>
          <w:b/>
        </w:rPr>
        <w:t xml:space="preserve">Fase 2 (Modul Edukasi Terapan): </w:t>
      </w:r>
      <w:r>
        <w:t>Gamifikasi MPASI pangan lokal murah dan keterlibatan aktif ayah (paternal engagement).</w:t>
      </w:r>
    </w:p>
    <w:p>
      <w:pPr>
        <w:pStyle w:val="ListBullet"/>
      </w:pPr>
      <w:r>
        <w:rPr>
          <w:b/>
        </w:rPr>
        <w:t xml:space="preserve">Fase 3 (Integrasi Middleware B2G): </w:t>
      </w:r>
      <w:r>
        <w:t>Integrasi API Gateway ke e-PPGBM Puskesmas dan ELSIMIL BKKBN untuk eliminasi pencatatan ganda.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