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Account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Search Events by Zip code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Events Tab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inputs a zip code in the “Search Events” tab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clicks the “Search” button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nearby events based on the zip code entered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be able to view the description i.e. price, venue, date &amp; time, etc. of each event clicked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user clicks the reserve tickets button for an event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6.a Use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Reserve Tickets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         7.) Else if the user clicks the buy tickets button for an event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7.a Use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Buy Tickets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Search Venues by Zip code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Venues Tab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inputs a zip code in the “Search Venues” tab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clicks the “Search” button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display nearby venues based on the zip code entered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be able to view the description i.e. location, current/upcoming events (link to event page), price range ($-$$$), etc.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Reserve Tickets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Reserve Tickets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Reserve Tickets Button in the event/venue page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specify how many tickets they would like to reserve in a text field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check if there are still remaining tickets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there are still remaining tickets then the system will link the user to the My Account page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 the system will display a message saying that there are no more tickets left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 If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Buy Tickets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 Tickets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 case starts when the user clicks the Buy Tickets Button in the event/venue 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user will specify how many tickets they would like to buy in a text field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check if there are still remaining tickets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there are still remaining tickets then the system will link the user to the My Account 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Else the system will display a message saying that there are no more tickets left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End if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Cancel Tickets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Tickets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View Ticket/Table inventory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Tickets/Table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View transaction invoices/reservation information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Transaction Invoice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Search transaction history in each venue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Transaction History Button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Flow of events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  <w:t xml:space="preserve">Comments / Concerns / Complaints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 a comment/concern/complaint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a name and email or remain anonymous in complaint.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decimal"/>
      <w:lvlText w:val="%1.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