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698D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1. OBJETIVO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Orientar a organização e a execução da Estratégia Apoiador da Pessoa com Deficiência (APD) nos Centros Especializados em Reabilitação (CER), em articulação com a atenção básica e a rede territorial. A diretriz reúne os critérios de acesso, a avaliação, o Projeto Terapêutico Singular (PTS), as intervenções, os registros e a alta para apoiar o cuidado de pessoas com deficiência intelectual, sua autonomia, seu protagonismo e sua participação social.</w:t>
      </w:r>
    </w:p>
    <w:p w14:paraId="72959519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2. SIGLAS E ABREVIATURAS</w:t>
      </w:r>
    </w:p>
    <w:tbl>
      <w:tblPr>
        <w:tblStyle w:val="a5"/>
        <w:tblW w:w="950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7030"/>
      </w:tblGrid>
      <w:tr w:rsidR="00C3023F" w14:paraId="1BF54456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APD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Apoiador da Pessoa com Deficiência</w:t>
            </w:r>
          </w:p>
        </w:tc>
      </w:tr>
      <w:tr w:rsidR="00C3023F" w14:paraId="2CE9C96C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CER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Centro Especializado em Reabilitação</w:t>
            </w:r>
          </w:p>
        </w:tc>
      </w:tr>
      <w:tr w:rsidR="00C3023F" w14:paraId="05C5060F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CIF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Classificação Internacional de Funcionalidade, Incapacidade e Saúde</w:t>
            </w:r>
          </w:p>
        </w:tc>
      </w:tr>
      <w:tr w:rsidR="00C3023F" w14:paraId="69D1053B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PTS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Projeto Terapêutico Singular</w:t>
            </w:r>
          </w:p>
        </w:tc>
      </w:tr>
      <w:tr w:rsidR="00C3023F" w14:paraId="42AF3133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UBS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Unidade Básica de Saúde</w:t>
            </w:r>
          </w:p>
        </w:tc>
      </w:tr>
      <w:tr w:rsidR="00C3023F" w14:paraId="3C3C9D6B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RAS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Rede de Atenção à Saúde</w:t>
            </w:r>
          </w:p>
        </w:tc>
      </w:tr>
      <w:tr w:rsidR="00C3023F" w14:paraId="214AAC8E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RAPS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Rede de Atenção Psicossocial</w:t>
            </w:r>
          </w:p>
        </w:tc>
      </w:tr>
      <w:tr w:rsidR="00C3023F" w14:paraId="0FBD0BA1" w14:textId="77777777">
        <w:trPr>
          <w:jc w:val="center"/>
          <w:cantSplit/>
        </w:trPr>
        <w:tc>
          <w:tcPr>
            <w:tcW w:w="1417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SMS-SP</w:t>
            </w:r>
          </w:p>
        </w:tc>
        <w:tc>
          <w:tcPr>
            <w:tcW w:w="7030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Secretaria Municipal da Saúde de São Paulo</w:t>
            </w:r>
          </w:p>
        </w:tc>
      </w:tr>
    </w:tbl>
    <w:p w14:paraId="4587ACCB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3. EQUIPAMENTOS E MATERIAIS NECESSÁRIOS</w:t>
      </w:r>
    </w:p>
    <w:p w14:paraId="6936030B" w14:textId="77777777" w:rsidR="00C3023F" w:rsidRDefault="00C3023F">
      <w:pPr>
        <w:spacing w:after="80" w:before="0" w:line="259" w:lineRule="auto"/>
        <w:ind w:left="317" w:hanging="17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 w:val="0"/>
          <w:color w:val="000000"/>
          <w:sz w:val="20"/>
        </w:rPr>
        <w:t>Prontuário único do CER; instrumentos de adesão, cadastro, avaliação complementar, PTS, revisão e resumo de alta previstos no documento norteador da SMS-SP; recursos de comunicação acessível, tecnologias assistivas e meios de deslocamento definidos conforme o PTS e as condições da unidade. Autorizações de saída e de uso de imagem são utilizadas somente quando cabíveis.</w:t>
      </w:r>
    </w:p>
    <w:p w14:paraId="581F9ABB" w14:textId="77777777" w:rsidR="00C3023F" w:rsidRDefault="00000000">
      <w:pPr>
        <w:pStyle w:val="Ttulo1"/>
        <w:keepNext/>
        <w:spacing w:after="80" w:before="180"/>
        <w:ind w:left="144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4. RESPONSABILIDADES</w:t>
      </w:r>
    </w:p>
    <w:tbl>
      <w:tblPr>
        <w:tblStyle w:val="a6"/>
        <w:tblW w:w="97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5896"/>
      </w:tblGrid>
      <w:tr w:rsidR="00C3023F" w14:paraId="4284A853" w14:textId="77777777">
        <w:trPr>
          <w:jc w:val="center"/>
          <w:cantSplit/>
          <w:tblHeader w:val="true"/>
        </w:trPr>
        <w:tc>
          <w:tcPr>
            <w:tcW w:w="2551" w:type="dxa"/>
            <w:shd w:val="clear" w:color="auto" w:fill="D9E2F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Responsável</w:t>
            </w:r>
          </w:p>
        </w:tc>
        <w:tc>
          <w:tcPr>
            <w:tcW w:w="5896" w:type="dxa"/>
            <w:shd w:val="clear" w:color="auto" w:fill="D9E2F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Atribuição</w:t>
            </w:r>
          </w:p>
        </w:tc>
      </w:tr>
      <w:tr w:rsidR="00C3023F" w14:paraId="56DBAB53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Gerência do CER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Assegurar condições de trabalho à equipe, integrar a APD às ações do CER e acompanhar atividades, indicadores e necessidades de articulação com a rede.</w:t>
            </w:r>
          </w:p>
        </w:tc>
      </w:tr>
      <w:tr w:rsidR="00C3023F" w14:paraId="080A344C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Coordenação da APD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Organizar agendas e reuniões, apoiar a supervisão dos casos, consolidar registros e acompanhar o cumprimento dos PTS e dos indicadores da Estratégia.</w:t>
            </w:r>
          </w:p>
        </w:tc>
      </w:tr>
      <w:tr w:rsidR="00C3023F" w14:paraId="5D3D8408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Núcleo técnico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Realizar avaliação complementar, pactuar e gerir o PTS, orientar os acompanhantes, intervir com a pessoa e a família e articular os serviços necessários.</w:t>
            </w:r>
          </w:p>
        </w:tc>
      </w:tr>
      <w:tr w:rsidR="00C3023F" w14:paraId="24E1612C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Acompanhantes da APD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Executar as ações pactuadas no PTS junto à pessoa, à família e ao território; comunicar mudanças e intercorrências ao núcleo técnico e registrar cada atendimento.</w:t>
            </w:r>
          </w:p>
        </w:tc>
      </w:tr>
      <w:tr w:rsidR="00C3023F" w14:paraId="4E2BDB1F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UBS e serviços da rede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Compartilhar o cuidado, participar da construção ou revisão do PTS quando possível e manter a continuidade do acompanhamento no território.</w:t>
            </w:r>
          </w:p>
        </w:tc>
      </w:tr>
      <w:tr w:rsidR="00C3023F" w14:paraId="63952636" w14:textId="77777777">
        <w:trPr>
          <w:jc w:val="center"/>
          <w:cantSplit/>
        </w:trPr>
        <w:tc>
          <w:tcPr>
            <w:tcW w:w="2551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Instâncias gestoras</w:t>
            </w:r>
          </w:p>
        </w:tc>
        <w:tc>
          <w:tcPr>
            <w:tcW w:w="5896" w:type="dxa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Acompanhar tecnicamente a Estratégia e os indicadores, apoiar a educação permanente e prover os meios institucionais pactuados para sua execução.</w:t>
            </w:r>
          </w:p>
        </w:tc>
      </w:tr>
    </w:tbl>
    <w:p w14:paraId="6BE7D2EF" w14:textId="77777777" w:rsidR="00C3023F" w:rsidRDefault="00C3023F">
      <w:pPr>
        <w:pStyle w:val="Ttulo1"/>
        <w:rPr>
          <w:rFonts w:ascii="Calibri" w:eastAsia="Calibri" w:hAnsi="Calibri" w:cs="Calibri"/>
          <w:sz w:val="24"/>
          <w:szCs w:val="24"/>
        </w:rPr>
      </w:pPr>
    </w:p>
    <w:p w14:paraId="37941B8D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5. DESCRIÇÃO</w:t>
      </w:r>
    </w:p>
    <w:p>
      <w:pPr>
        <w:pStyle w:val="SubtituloAPD"/>
        <w:keepNext/>
      </w:pPr>
      <w:r>
        <w:t>5.1 Fundamentos e público atendido</w:t>
      </w:r>
    </w:p>
    <w:p>
      <w:pPr>
        <w:keepLines/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 APD integra o cuidado do CER e atua no domicílio, nos serviços e na comunidade. O público são pessoas com deficiência intelectual em qualquer ciclo de vida e grau de apoio, inclusive em investigação diagnóstica, quando precisam de suporte para o cuidado em saúde, a autonomia ou a participação social. Deficiências associadas não impedem a inclusão. Pessoas institucionalizadas podem receber atuação complementar, articulada à equipe da instituição.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 equipe adota o modelo biopsicossocial e utiliza a CIF para observar atividades, participação, fatores pessoais e ambientais, barreiras e facilitadores. Escuta os desejos e escolhas da pessoa, reconhece suas potencialidades e enfrenta atitudes capacitistas. O apoio é construído com a pessoa e sua rede; a APD não substitui o cuidador nem assume as decisões da família ou da pessoa atendida.</w:t>
      </w:r>
    </w:p>
    <w:p>
      <w:pPr>
        <w:pStyle w:val="SubtituloAPD"/>
        <w:keepNext/>
      </w:pPr>
      <w:r>
        <w:t>5.2 Identificação da demanda e avaliação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O acesso ocorre preferencialmente após avaliação multiprofissional em reabilitação intelectual no CER. A necessidade da APD também pode ser identificada pela UBS, por outros serviços da rede ou por busca ativa no território. Independentemente da origem da demanda, a pessoa deve passar pela avaliação do CER sempre que possível e manter acompanhamento sistemático na UBS de referência.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Uma vez indicada a Estratégia, a equipe realiza o cadastro e a avaliação complementar no domicílio, com pelo menos dois integrantes do núcleo técnico. A avaliação considera história de vida, expectativas, desejos, habilidades, comunicação, contexto familiar, recursos do território e barreiras ao cuidado e à participação. A presença de um acompanhante pode ser definida pela equipe. A adesão e as autorizações pertinentes devem ser registradas nos instrumentos próprios.</w:t>
      </w:r>
    </w:p>
    <w:p>
      <w:pPr>
        <w:pStyle w:val="SubtituloAPD"/>
        <w:keepNext/>
      </w:pPr>
      <w:r>
        <w:t>5.3 Projeto Terapêutico Singular</w:t>
      </w:r>
    </w:p>
    <w:p>
      <w:pPr>
        <w:spacing w:before="0" w:after="80" w:line="259" w:lineRule="auto"/>
      </w:pPr>
      <w:r>
        <w:t>Após a avaliação, o núcleo técnico constrói o PTS com a pessoa, a família ou responsável, a UBS e outros serviços envolvidos, sempre que possível. O plano parte da principal demanda e dos desejos da pessoa, identifica necessidades de apoio, barreiras e facilitadores e pactua objetivos, atividades, prazos e responsabilidades. No início, prioriza a criação de vínculo. Devem ser definidos também os locais das ações, a frequência dos atendimentos e a forma de observar os resultados.</w:t>
      </w:r>
    </w:p>
    <w:p>
      <w:pPr>
        <w:spacing w:before="0" w:after="80" w:line="259" w:lineRule="auto"/>
      </w:pPr>
      <w:r>
        <w:t>O registro do PTS segue o instrumento da SMS-SP (Anexo V do documento norteador): cuidados e acessos em saúde, inclusão, garantia de direitos, autonomia nas atividades diárias e práticas, demanda principal, ações pactuadas e análise da rede de suporte. As metas precisam ser concretas e relacionadas à vida cotidiana; a equipe, a pessoa e a família reavaliam a viabilidade das ações e repactuam o plano quando surgem novas necessidades.</w:t>
      </w:r>
    </w:p>
    <w:p>
      <w:pPr>
        <w:spacing w:before="0" w:after="80" w:line="259" w:lineRule="auto"/>
      </w:pPr>
      <w:r>
        <w:t>O tipo de PTS classifica a periodicidade das intervenções do acompanhante, não o diagnóstico nem, isoladamente, a complexidade do caso. A escolha decorre da avaliação técnica, das metas, dos apoios necessários, da disponibilidade da pessoa e da rede, das barreiras de acesso e dos acontecimentos de saúde ou proteção. A recomendação geral do documento norteador é de atendimento ao menos semanal, ressalvadas as situações de PTS variável, cuja periodicidade é definida pelo objetivo do acompanhamento.</w:t>
      </w:r>
    </w:p>
    <w:p>
      <w:pPr>
        <w:spacing w:after="0" w:line="240" w:lineRule="auto"/>
      </w:pPr>
      <w:r>
        <w:br w:type="page"/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219"/>
        <w:gridCol w:w="1899"/>
        <w:gridCol w:w="5868"/>
      </w:tblGrid>
      <w:tr>
        <w:trPr>
          <w:cantSplit/>
        </w:trPr>
        <w:tc>
          <w:tcPr>
            <w:tcW w:type="dxa" w:w="1219"/>
            <w:vAlign w:val="center"/>
            <w:shd w:fill="DDEBF5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b/>
                <w:color w:val="1F4E79"/>
                <w:sz w:val="17"/>
              </w:rPr>
              <w:t>Tipo de PTS</w:t>
            </w:r>
          </w:p>
        </w:tc>
        <w:tc>
          <w:tcPr>
            <w:tcW w:type="dxa" w:w="1899"/>
            <w:vAlign w:val="center"/>
            <w:shd w:fill="DDEBF5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b/>
                <w:color w:val="1F4E79"/>
                <w:sz w:val="17"/>
              </w:rPr>
              <w:t>Frequência do acompanhante</w:t>
            </w:r>
          </w:p>
        </w:tc>
        <w:tc>
          <w:tcPr>
            <w:tcW w:type="dxa" w:w="5868"/>
            <w:vAlign w:val="center"/>
            <w:shd w:fill="DDEBF5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b/>
                <w:color w:val="1F4E79"/>
                <w:sz w:val="17"/>
              </w:rPr>
              <w:t>Aplicação e revisão</w:t>
            </w:r>
          </w:p>
        </w:tc>
      </w:tr>
      <w:tr>
        <w:trPr>
          <w:cantSplit/>
        </w:trPr>
        <w:tc>
          <w:tcPr>
            <w:tcW w:type="dxa" w:w="12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Simples</w:t>
            </w:r>
          </w:p>
        </w:tc>
        <w:tc>
          <w:tcPr>
            <w:tcW w:type="dxa" w:w="189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1 atendimento por semana</w:t>
            </w:r>
          </w:p>
        </w:tc>
        <w:tc>
          <w:tcPr>
            <w:tcW w:type="dxa" w:w="5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Plano com acompanhamento semanal do acompanhante; as metas, o local e as demais ações são individualizados e revistos conforme a evolução.</w:t>
            </w:r>
          </w:p>
        </w:tc>
      </w:tr>
      <w:tr>
        <w:trPr>
          <w:cantSplit/>
        </w:trPr>
        <w:tc>
          <w:tcPr>
            <w:tcW w:type="dxa" w:w="1219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Intermediário</w:t>
            </w:r>
          </w:p>
        </w:tc>
        <w:tc>
          <w:tcPr>
            <w:tcW w:type="dxa" w:w="1899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2 a 3 atendimentos por semana</w:t>
            </w:r>
          </w:p>
        </w:tc>
        <w:tc>
          <w:tcPr>
            <w:tcW w:type="dxa" w:w="5868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Usar quando as ações pactuadas exigirem essa periodicidade, conforme avaliação da equipe e disponibilidade da pessoa e de sua rede.</w:t>
            </w:r>
          </w:p>
        </w:tc>
      </w:tr>
      <w:tr>
        <w:trPr>
          <w:cantSplit/>
        </w:trPr>
        <w:tc>
          <w:tcPr>
            <w:tcW w:type="dxa" w:w="12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Intensivo</w:t>
            </w:r>
          </w:p>
        </w:tc>
        <w:tc>
          <w:tcPr>
            <w:tcW w:type="dxa" w:w="189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4 a 5 atendimentos por semana</w:t>
            </w:r>
          </w:p>
        </w:tc>
        <w:tc>
          <w:tcPr>
            <w:tcW w:type="dxa" w:w="5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Usar quando a avaliação e as metas justificarem intervenções mais frequentes. O número de atendimentos não é medida automática da gravidade da deficiência.</w:t>
            </w:r>
          </w:p>
        </w:tc>
      </w:tr>
      <w:tr>
        <w:trPr>
          <w:cantSplit/>
        </w:trPr>
        <w:tc>
          <w:tcPr>
            <w:tcW w:type="dxa" w:w="1219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Variável</w:t>
            </w:r>
          </w:p>
        </w:tc>
        <w:tc>
          <w:tcPr>
            <w:tcW w:type="dxa" w:w="1899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Sem frequência fixa</w:t>
            </w:r>
          </w:p>
        </w:tc>
        <w:tc>
          <w:tcPr>
            <w:tcW w:type="dxa" w:w="5868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Pode ser conduzido sobretudo pelo núcleo técnico quando a entrada do acompanhante ainda não é viável ou há suporte pontual, crise, violência, instabilidade ou necessidade de articulação da rede. Também apoia a transição gradual para a alta ou um período intermitente de replanejamento quando a família não consegue sustentar as ações pactuadas.</w:t>
            </w:r>
          </w:p>
        </w:tc>
      </w:tr>
    </w:tbl>
    <w:p>
      <w:pPr>
        <w:spacing w:before="0" w:after="80" w:line="259" w:lineRule="auto"/>
      </w:pPr>
      <w:r>
        <w:t>A passagem entre os tipos de PTS é uma decisão técnica registrada e pactuada com a pessoa e a família. A equipe pode aumentar ou reduzir a frequência conforme as metas, os resultados, o acesso à rede, medidas de proteção, agravos de saúde e condições reais de participação; não há conversão automática por tempo de permanência.</w:t>
      </w:r>
    </w:p>
    <w:p>
      <w:pPr>
        <w:pStyle w:val="SubtituloAPD"/>
        <w:keepNext/>
      </w:pPr>
      <w:r>
        <w:t>5.4 Formatos de acompanhamento e intervenções no território</w:t>
      </w:r>
    </w:p>
    <w:p>
      <w:pPr>
        <w:spacing w:before="0" w:after="80" w:line="259" w:lineRule="auto"/>
      </w:pPr>
      <w:r>
        <w:t>O PTS combina atendimentos no domicílio, no CER, nos demais serviços e em espaços comunitários, conforme a meta de cada ação. A equipe pode realizar ações individuais, compartilhadas e em grupo, apoiar o acesso a consultas e serviços, treinar trajetos e promover participação em educação, cultura, esporte, lazer e trabalho. O atendimento domiciliar deve estar previsto para todos, respeitando necessidades, singularidades, vínculo e consentimento para entrada na moradia.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600"/>
        <w:gridCol w:w="3628"/>
      </w:tblGrid>
      <w:tr>
        <w:trPr>
          <w:cantSplit/>
        </w:trPr>
        <w:tc>
          <w:tcPr>
            <w:tcW w:type="dxa" w:w="1757"/>
            <w:vAlign w:val="center"/>
            <w:shd w:fill="DDEBF5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b/>
                <w:color w:val="1F4E79"/>
                <w:sz w:val="17"/>
              </w:rPr>
              <w:t>Formato domiciliar</w:t>
            </w:r>
          </w:p>
        </w:tc>
        <w:tc>
          <w:tcPr>
            <w:tcW w:type="dxa" w:w="3600"/>
            <w:vAlign w:val="center"/>
            <w:shd w:fill="DDEBF5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b/>
                <w:color w:val="1F4E79"/>
                <w:sz w:val="17"/>
              </w:rPr>
              <w:t>Finalidade</w:t>
            </w:r>
          </w:p>
        </w:tc>
        <w:tc>
          <w:tcPr>
            <w:tcW w:type="dxa" w:w="3628"/>
            <w:vAlign w:val="center"/>
            <w:shd w:fill="DDEBF5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b/>
                <w:color w:val="1F4E79"/>
                <w:sz w:val="17"/>
              </w:rPr>
              <w:t>Organização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Acompanhante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Executar, com a pessoa e a família, as atividades pactuadas no PTS; observar avanços, barreiras e novas demandas.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Frequência e objetivos definidos no PTS e acordados previamente entre pessoa, família e equipe.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Profissional do núcleo técnico</w:t>
            </w:r>
          </w:p>
        </w:tc>
        <w:tc>
          <w:tcPr>
            <w:tcW w:type="dxa" w:w="3600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Avaliar ou reavaliar, orientar, aplicar estratégias técnicas, acolher novas demandas e repactuar o PTS.</w:t>
            </w:r>
          </w:p>
        </w:tc>
        <w:tc>
          <w:tcPr>
            <w:tcW w:type="dxa" w:w="3628"/>
            <w:vAlign w:val="center"/>
            <w:shd w:fill="F6F9FB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Previsto para todos os usuários. O núcleo técnico realiza alguma ação para cada pessoa ao menos mensalmente e visita domiciliar em intervalo máximo de dois meses.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Compartilhado: técnico e acompanhante</w:t>
            </w:r>
          </w:p>
        </w:tc>
        <w:tc>
          <w:tcPr>
            <w:tcW w:type="dxa" w:w="3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Observar a execução das ações, identificar dificuldades, ajustar estratégias e pactuar responsabilidades ou mediar conflitos com a pessoa e a família.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/>
                <w:sz w:val="17"/>
              </w:rPr>
              <w:t>Realizado periodicamente conforme necessidade do caso; pode compor a ação mensal do núcleo técnico e a visita domiciliar prevista.</w:t>
            </w:r>
          </w:p>
        </w:tc>
      </w:tr>
    </w:tbl>
    <w:p>
      <w:pPr>
        <w:spacing w:before="0" w:after="80" w:line="259" w:lineRule="auto"/>
      </w:pPr>
      <w:r>
        <w:t>As intervenções devem ser feitas com a pessoa, favorecendo suas escolhas e sua autonomia. Conforme o PTS, podem abranger comunicação, autocuidado, vida doméstica, mobilidade, relações sociais e acesso a direitos. A família recebe orientação para sustentar as conquistas; quando houver tratamento medicamentoso, a APD apoia a adesão às orientações médicas, sem prescrever nem alterar condutas.</w:t>
      </w:r>
    </w:p>
    <w:p>
      <w:pPr>
        <w:pStyle w:val="SubtituloAPD"/>
        <w:keepNext/>
      </w:pPr>
      <w:r>
        <w:t>5.5 Articulação da rede e situações de maior vulnerabilidade</w:t>
      </w:r>
    </w:p>
    <w:p>
      <w:pPr>
        <w:spacing w:before="0" w:after="80" w:line="259" w:lineRule="auto"/>
        <w:keepLines/>
      </w:pPr>
      <w:r>
        <w:rPr>
          <w:rFonts w:ascii="Calibri" w:hAnsi="Calibri"/>
          <w:b w:val="0"/>
          <w:color w:val="000000"/>
          <w:sz w:val="20"/>
        </w:rPr>
        <w:t>A APD articula ações com UBS, CER, RAPS, assistência social, educação, cultura, esporte, trabalho e proteção de direitos, mapeando os recursos do território. Compartilha casos e responsabilidades para favorecer acesso e permanência. Se um transtorno mental associado causar crise ou desorganização que dificulte a intervenção, a RAPS participa previamente ou de forma compartilhada. Em violência ou violação de direitos, a equipe aciona a rede de proteção competente.</w:t>
      </w:r>
    </w:p>
    <w:p>
      <w:pPr>
        <w:pStyle w:val="SubtituloAPD"/>
        <w:keepNext/>
      </w:pPr>
      <w:r>
        <w:t>5.6 Organização do trabalho e registros</w:t>
      </w:r>
    </w:p>
    <w:p>
      <w:pPr>
        <w:spacing w:before="0" w:after="80" w:line="259" w:lineRule="auto"/>
      </w:pPr>
      <w:r>
        <w:t>Cada pessoa tem um acompanhante e um profissional do núcleo técnico como referências, com responsabilidade compartilhada da equipe. A reunião de equipe ocorre ao menos semanalmente. A referência técnica mantém contato contínuo com o acompanhante para acolher intercorrências, ajustar a execução do plano, programar ações compartilhadas e acionar a rede quando necessário.</w:t>
      </w:r>
    </w:p>
    <w:p>
      <w:pPr>
        <w:spacing w:before="0" w:after="80" w:line="259" w:lineRule="auto"/>
      </w:pPr>
      <w:r>
        <w:t>A gestão sistemática do PTS é agendada entre núcleo técnico e cada acompanhante em intervalo máximo de três meses. Nela, a equipe verifica atividades e metas, resultados alcançados, dificuldades, participação da pessoa e da família e adequação da frequência; registra a decisão de manter, modificar, prorrogar ou encerrar ações, com novos responsáveis e prazos. Demandas urgentes ou mudanças relevantes provocam discussão e revisão antes desse encontro. O instrumento de Gestão do PTS da SMS-SP (Anexo VI) apoia esse registro.</w:t>
      </w:r>
    </w:p>
    <w:p>
      <w:pPr>
        <w:spacing w:before="0" w:after="80" w:line="259" w:lineRule="auto"/>
      </w:pPr>
      <w:r>
        <w:t>Todos os atendimentos, articulações, revisões, intercorrências e decisões de alta devem constar dos instrumentos específicos e, obrigatoriamente, do prontuário único do CER. A agenda e os registros de produção seguem os sistemas adotados pela rede municipal. Informações pessoais são compartilhadas apenas com os profissionais e serviços envolvidos no cuidado, conforme as regras institucionais aplicáveis.</w:t>
      </w:r>
    </w:p>
    <w:p>
      <w:pPr>
        <w:pStyle w:val="SubtituloAPD"/>
        <w:keepNext/>
      </w:pPr>
      <w:r>
        <w:t>5.7 Alta e continuidade do cuidado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Na alta, a equipe discute com a pessoa, a família, o CER, a UBS e os demais serviços se os ganhos de autonomia e participação podem ser sustentados pela rede. Quando possível, reduz gradualmente o acompanhamento; o PTS variável pode apoiar essa transição. O alcance de um objetivo isolado não produz alta automática.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Na conclusão dos objetivos, mudança de território ou outra situação que exija encerramento, a equipe articula a continuidade do cuidado, registra a decisão e encaminha resumo de alta à UBS. Em transferências, busca contato com o novo território. Dificuldades de manutenção do PTS exigem discussão e revisão antes de qualquer desligamento por esse motivo.</w:t>
      </w:r>
    </w:p>
    <w:p>
      <w:pPr>
        <w:pStyle w:val="SubtituloAPD"/>
        <w:keepNext/>
      </w:pPr>
      <w:r>
        <w:t>5.8 Acompanhamento da Estratégia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A coordenação e a gerência acompanham o acesso, o número de pessoas em acompanhamento, as intervenções realizadas, a revisão dos PTS, as altas e as dificuldades de acesso à rede. Os indicadores e metas de produção devem seguir os parâmetros pactuados com as instâncias gestoras da SMS-SP, sem substituir a avaliação da qualidade e da pertinência do cuidado em cada caso.</w:t>
      </w:r>
    </w:p>
    <w:p w14:paraId="5DE2E5C3" w14:textId="77777777" w:rsidR="00C3023F" w:rsidRDefault="00000000">
      <w:pPr>
        <w:pStyle w:val="Ttulo1"/>
        <w:keepNext/>
        <w:pageBreakBefore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6. FLUXOGRAMA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Sequência de cuidado da APD. A indicação é discutida pela equipe do CER e a UBS permanece como referência ao longo do processo.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31"/>
      </w:tblGrid>
      <w:tr>
        <w:trPr>
          <w:cantSplit/>
          <w:tblHeader w:val="true"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Etapa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Encaminhamento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1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Identificar demanda no CER, na UBS, na rede ou por busca ativa.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2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Realizar avaliação multiprofissional no CER. Se a APD não for indicada, manter o cuidado cabível no CER e na UBS.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3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 indicação, registrar adesão e cadastro e fazer avaliação complementar no domicílio.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4</w:t>
            </w:r>
          </w:p>
        </w:tc>
        <w:tc>
          <w:tcPr>
            <w:tcW w:type="dxa" w:w="8731"/>
            <w:vAlign w:val="center"/>
          </w:tcPr>
          <w:p>
            <w:r>
              <w:t>Pactuar PTS com a pessoa, a família e os serviços envolvidos; registrar metas, ações, responsáveis, tipo de PTS e frequência dos atendimentos.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5</w:t>
            </w:r>
          </w:p>
        </w:tc>
        <w:tc>
          <w:tcPr>
            <w:tcW w:type="dxa" w:w="8731"/>
            <w:vAlign w:val="center"/>
          </w:tcPr>
          <w:p>
            <w:r>
              <w:t>Executar os acompanhamentos no domicílio e no território; registrar resultados e intercorrências; gerir e repactuar o PTS continuamente e em encontro sistemático até três meses.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color w:val="000000"/>
                <w:sz w:val="19"/>
              </w:rPr>
              <w:t>6</w:t>
            </w:r>
          </w:p>
        </w:tc>
        <w:tc>
          <w:tcPr>
            <w:tcW w:type="dxa" w:w="873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Planejar alta responsável ou transferência, registrar o resumo e articular continuidade com a UBS e a rede.</w:t>
            </w:r>
          </w:p>
        </w:tc>
      </w:tr>
    </w:tbl>
    <w:p w14:paraId="4DE4D549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t>7. REFERÊNCIAS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SÃO PAULO (Município). Secretaria Municipal da Saúde. Estratégia Apoiador da Pessoa com Deficiência APD: Equipe de Saúde para Inclusão e Qualidade de Vida. Versão atualizada em 2024. Disponível em: https://drive.prefeitura.sp.gov.br/cidade/secretarias/upload/saude/APD_jan2024.pdf.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SÃO PAULO (Município). Secretaria Municipal da Saúde. Estratégia APD. Página institucional publicada em 26 fev. 2024. Disponível em: https://prefeitura.sp.gov.br/web/saude/w/atencao_basica/349510.</w:t>
      </w:r>
    </w:p>
    <w:p w14:paraId="1BEC631F" w14:textId="77777777" w:rsidR="00C3023F" w:rsidRDefault="00000000">
      <w:pPr>
        <w:pStyle w:val="Ttulo1"/>
        <w:keepNext/>
        <w:spacing w:before="18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375D"/>
          <w:sz w:val="24"/>
          <w:szCs w:val="24"/>
        </w:rPr>
        <w:lastRenderedPageBreak/>
        <w:t>8. ANEXOS</w:t>
      </w:r>
    </w:p>
    <w:p>
      <w:pPr>
        <w:spacing w:before="0" w:after="80" w:line="259" w:lineRule="auto"/>
      </w:pPr>
      <w:r>
        <w:rPr>
          <w:rFonts w:ascii="Calibri" w:hAnsi="Calibri"/>
          <w:b w:val="0"/>
          <w:color w:val="000000"/>
          <w:sz w:val="20"/>
        </w:rPr>
        <w:t>Os instrumentos de adesão, cadastro, avaliação complementar, PTS, gestão do caso e resumo de alta permanecem nos anexos do documento norteador da SMS-SP e devem ser utilizados conforme o fluxo institucional vigente.</w:t>
      </w:r>
    </w:p>
    <w:p w14:paraId="6D779B21" w14:textId="77777777" w:rsidR="00C3023F" w:rsidRDefault="00C3023F">
      <w:pPr>
        <w:spacing w:after="20"/>
        <w:ind w:left="317" w:hanging="173"/>
        <w:rPr>
          <w:rFonts w:ascii="Calibri" w:eastAsia="Calibri" w:hAnsi="Calibri" w:cs="Calibri"/>
          <w:sz w:val="24"/>
          <w:szCs w:val="24"/>
        </w:rPr>
      </w:pPr>
    </w:p>
    <w:tbl>
      <w:tblPr>
        <w:tblStyle w:val="a8"/>
        <w:tblW w:w="9824" w:type="dxa"/>
        <w:tblInd w:w="-1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3544"/>
        <w:gridCol w:w="992"/>
        <w:gridCol w:w="2977"/>
        <w:gridCol w:w="894"/>
      </w:tblGrid>
      <w:tr w:rsidR="00C3023F" w14:paraId="14EB7577" w14:textId="77777777">
        <w:trPr>
          <w:trHeight w:val="397"/>
          <w:cantSplit/>
        </w:trPr>
        <w:tc>
          <w:tcPr>
            <w:tcW w:w="5954" w:type="dxa"/>
            <w:gridSpan w:val="3"/>
            <w:vAlign w:val="center"/>
          </w:tcPr>
          <w:p w14:paraId="208738CD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Nome</w:t>
            </w:r>
          </w:p>
        </w:tc>
        <w:tc>
          <w:tcPr>
            <w:tcW w:w="3871" w:type="dxa"/>
            <w:gridSpan w:val="2"/>
            <w:vAlign w:val="center"/>
          </w:tcPr>
          <w:p w14:paraId="7E9AD507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</w:tr>
      <w:tr w:rsidR="00C3023F" w14:paraId="4531B0FF" w14:textId="77777777">
        <w:trPr>
          <w:trHeight w:val="397"/>
          <w:cantSplit/>
        </w:trPr>
        <w:tc>
          <w:tcPr>
            <w:tcW w:w="5954" w:type="dxa"/>
            <w:gridSpan w:val="3"/>
          </w:tcPr>
          <w:p w14:paraId="28061CE4" w14:textId="42C0702F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Elaborador:</w:t>
            </w:r>
          </w:p>
        </w:tc>
        <w:tc>
          <w:tcPr>
            <w:tcW w:w="3871" w:type="dxa"/>
            <w:gridSpan w:val="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definir</w:t>
            </w:r>
          </w:p>
        </w:tc>
      </w:tr>
      <w:tr w:rsidR="00C3023F" w14:paraId="4E5CC59F" w14:textId="77777777">
        <w:trPr>
          <w:trHeight w:val="397"/>
          <w:cantSplit/>
        </w:trPr>
        <w:tc>
          <w:tcPr>
            <w:tcW w:w="5954" w:type="dxa"/>
            <w:gridSpan w:val="3"/>
          </w:tcPr>
          <w:p w14:paraId="1E60080C" w14:textId="4B5FF32E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Revisor: </w:t>
            </w:r>
          </w:p>
        </w:tc>
        <w:tc>
          <w:tcPr>
            <w:tcW w:w="3871" w:type="dxa"/>
            <w:gridSpan w:val="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definir</w:t>
            </w:r>
          </w:p>
        </w:tc>
      </w:tr>
      <w:tr w:rsidR="00C3023F" w14:paraId="59DA6380" w14:textId="77777777">
        <w:trPr>
          <w:trHeight w:val="397"/>
          <w:cantSplit/>
        </w:trPr>
        <w:tc>
          <w:tcPr>
            <w:tcW w:w="5954" w:type="dxa"/>
            <w:gridSpan w:val="3"/>
          </w:tcPr>
          <w:p w14:paraId="58163276" w14:textId="3CD4C782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Aprovador: </w:t>
            </w:r>
          </w:p>
        </w:tc>
        <w:tc>
          <w:tcPr>
            <w:tcW w:w="3871" w:type="dxa"/>
            <w:gridSpan w:val="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definir</w:t>
            </w:r>
          </w:p>
        </w:tc>
      </w:tr>
      <w:tr w:rsidR="00C3023F" w14:paraId="5C2516A5" w14:textId="77777777">
        <w:trPr>
          <w:trHeight w:val="397"/>
          <w:cantSplit/>
        </w:trPr>
        <w:tc>
          <w:tcPr>
            <w:tcW w:w="9825" w:type="dxa"/>
            <w:gridSpan w:val="5"/>
            <w:shd w:val="clear" w:color="auto" w:fill="B4C6E7"/>
            <w:vAlign w:val="center"/>
          </w:tcPr>
          <w:p w14:paraId="2A2803C3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HISTÓRICO DE ALTERAÇÕES</w:t>
            </w:r>
          </w:p>
        </w:tc>
      </w:tr>
      <w:tr w:rsidR="00C3023F" w14:paraId="232CF0DB" w14:textId="77777777">
        <w:trPr>
          <w:trHeight w:val="397"/>
          <w:cantSplit/>
        </w:trPr>
        <w:tc>
          <w:tcPr>
            <w:tcW w:w="1418" w:type="dxa"/>
            <w:shd w:val="clear" w:color="auto" w:fill="FFFFFF"/>
            <w:vAlign w:val="center"/>
          </w:tcPr>
          <w:p w14:paraId="15E2AABC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 xml:space="preserve">Data </w:t>
            </w:r>
          </w:p>
        </w:tc>
        <w:tc>
          <w:tcPr>
            <w:tcW w:w="3544" w:type="dxa"/>
            <w:shd w:val="clear" w:color="auto" w:fill="FFFFFF"/>
            <w:vAlign w:val="center"/>
          </w:tcPr>
          <w:p w14:paraId="33BCAC43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37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Responsável</w:t>
            </w:r>
          </w:p>
        </w:tc>
        <w:tc>
          <w:tcPr>
            <w:tcW w:w="3969" w:type="dxa"/>
            <w:gridSpan w:val="2"/>
            <w:shd w:val="clear" w:color="auto" w:fill="FFFFFF"/>
            <w:vAlign w:val="center"/>
          </w:tcPr>
          <w:p w14:paraId="6829687E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Item modificado</w:t>
            </w:r>
          </w:p>
        </w:tc>
        <w:tc>
          <w:tcPr>
            <w:tcW w:w="894" w:type="dxa"/>
            <w:shd w:val="clear" w:color="auto" w:fill="FFFFFF"/>
            <w:vAlign w:val="center"/>
          </w:tcPr>
          <w:p w14:paraId="179AA808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231F20"/>
                <w:sz w:val="24"/>
                <w:szCs w:val="24"/>
              </w:rPr>
              <w:t>Versão</w:t>
            </w:r>
          </w:p>
        </w:tc>
      </w:tr>
      <w:tr w:rsidR="00C3023F" w14:paraId="2ACF3DA5" w14:textId="77777777">
        <w:trPr>
          <w:trHeight w:val="397"/>
          <w:cantSplit/>
        </w:trPr>
        <w:tc>
          <w:tcPr>
            <w:tcW w:w="1418" w:type="dxa"/>
          </w:tcPr>
          <w:p w14:paraId="0E20D302" w14:textId="3FC21F1A" w:rsidR="00C3023F" w:rsidRDefault="00C30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C4BB837" w14:textId="516516B7" w:rsidR="00C3023F" w:rsidRDefault="00C30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Minuta inicial com base no documento norteador da SMS-SP (2024).</w:t>
            </w:r>
          </w:p>
        </w:tc>
        <w:tc>
          <w:tcPr>
            <w:tcW w:w="894" w:type="dxa"/>
          </w:tcPr>
          <w:p w14:paraId="73E81DE1" w14:textId="77777777" w:rsidR="00C302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00</w:t>
            </w:r>
          </w:p>
        </w:tc>
      </w:tr>
      <w:tr w:rsidR="00C3023F" w14:paraId="2ACF3DA5" w14:textId="77777777">
        <w:trPr>
          <w:trHeight w:val="397"/>
          <w:cantSplit/>
        </w:trPr>
        <w:tc>
          <w:tcPr>
            <w:tcW w:w="1418" w:type="dxa"/>
          </w:tcPr>
          <w:p>
            <w:r/>
          </w:p>
        </w:tc>
        <w:tc>
          <w:tcPr>
            <w:tcW w:w="3544" w:type="dxa"/>
          </w:tcPr>
          <w:p>
            <w:r/>
          </w:p>
        </w:tc>
        <w:tc>
          <w:tcPr>
            <w:tcW w:w="3969" w:type="dxa"/>
            <w:gridSpan w:val="2"/>
            <w:vAlign w:val="center"/>
          </w:tcPr>
          <w:p>
            <w:r>
              <w:t>Detalhamento dos tipos de PTS, formatos de acompanhamento e gestão do plano.</w:t>
            </w:r>
          </w:p>
        </w:tc>
        <w:tc>
          <w:tcPr>
            <w:tcW w:w="894" w:type="dxa"/>
          </w:tcPr>
          <w:p>
            <w:r>
              <w:t>00</w:t>
            </w:r>
          </w:p>
        </w:tc>
      </w:tr>
    </w:tbl>
    <w:sectPr w:rsidR="00C3023F">
      <w:headerReference w:type="default" r:id="rId7"/>
      <w:footerReference w:type="default" r:id="rId8"/>
      <w:pgSz w:w="11906" w:h="16838"/>
      <w:pgMar w:top="936" w:right="1080" w:bottom="864" w:left="10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925D3" w14:textId="77777777" w:rsidR="008A2986" w:rsidRDefault="008A2986">
      <w:pPr>
        <w:spacing w:after="0" w:line="240" w:lineRule="auto"/>
      </w:pPr>
      <w:r>
        <w:separator/>
      </w:r>
    </w:p>
  </w:endnote>
  <w:endnote w:type="continuationSeparator" w:id="0">
    <w:p w14:paraId="2D51ECBC" w14:textId="77777777" w:rsidR="008A2986" w:rsidRDefault="008A2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88E2C0C-92BF-4E2D-87D0-79AC05FE46E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187FB76-E3A1-44B1-859C-8EB7357B10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A834AE-E347-4234-8C22-BA0FD026A1E4}"/>
    <w:embedBold r:id="rId4" w:fontKey="{929330AA-96DA-42E6-9F34-DFC4EA629D11}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47AF7D1-B08C-4655-AB8C-A1A1923DA41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4917379-3CA1-4B83-BD3E-E12BD21EDE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3FA52" w14:textId="77777777" w:rsidR="00C3023F" w:rsidRDefault="00000000">
    <w:pPr>
      <w:ind w:left="-1701" w:right="-1700"/>
      <w:jc w:val="center"/>
      <w:rPr>
        <w:rFonts w:ascii="MS Shell Dlg 2" w:eastAsia="MS Shell Dlg 2" w:hAnsi="MS Shell Dlg 2" w:cs="MS Shell Dlg 2"/>
        <w:color w:val="D9D9D9"/>
      </w:rPr>
    </w:pPr>
    <w:bookmarkStart w:id="0" w:name="_heading=h.kjqhvaewr811" w:colFirst="0" w:colLast="0"/>
    <w:bookmarkEnd w:id="0"/>
    <w:r>
      <w:rPr>
        <w:color w:val="D9D9D9"/>
      </w:rPr>
      <w:t>______________________________________________________________________________________________</w:t>
    </w:r>
  </w:p>
  <w:p w14:paraId="1C56F029" w14:textId="77777777" w:rsidR="00C302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393"/>
        <w:tab w:val="left" w:pos="8558"/>
      </w:tabs>
      <w:ind w:left="-1701" w:right="-1700"/>
      <w:jc w:val="center"/>
      <w:rPr>
        <w:rFonts w:ascii="Calibri" w:eastAsia="Calibri" w:hAnsi="Calibri" w:cs="Calibri"/>
        <w:color w:val="000000"/>
        <w:sz w:val="16"/>
        <w:szCs w:val="16"/>
      </w:rPr>
    </w:pPr>
    <w:r>
      <w:rPr>
        <w:rFonts w:ascii="Calibri" w:eastAsia="Calibri" w:hAnsi="Calibri" w:cs="Calibri"/>
        <w:color w:val="000000"/>
      </w:rPr>
      <w:t>Núcleo da Qualidade / CEDOC – Versão 03 (</w:t>
    </w:r>
    <w:proofErr w:type="spellStart"/>
    <w:r>
      <w:rPr>
        <w:rFonts w:ascii="Calibri" w:eastAsia="Calibri" w:hAnsi="Calibri" w:cs="Calibri"/>
        <w:color w:val="000000"/>
      </w:rPr>
      <w:t>jul</w:t>
    </w:r>
    <w:proofErr w:type="spellEnd"/>
    <w:r>
      <w:rPr>
        <w:rFonts w:ascii="Calibri" w:eastAsia="Calibri" w:hAnsi="Calibri" w:cs="Calibri"/>
        <w:color w:val="000000"/>
      </w:rPr>
      <w:t>/25)</w:t>
    </w:r>
    <w:r>
      <w:rPr>
        <w:rFonts w:ascii="Calibri" w:eastAsia="Calibri" w:hAnsi="Calibri" w:cs="Calibri"/>
        <w:color w:val="000000"/>
        <w:sz w:val="16"/>
        <w:szCs w:val="16"/>
      </w:rPr>
      <w:t xml:space="preserve">                                        </w:t>
    </w:r>
  </w:p>
  <w:p w14:paraId="4E481C9A" w14:textId="77777777" w:rsidR="00C302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393"/>
        <w:tab w:val="left" w:pos="8558"/>
      </w:tabs>
      <w:ind w:left="-1701" w:right="-1700"/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Associação Saúde da Família – CNPJ: 68.311.216/0001-01 – </w:t>
    </w:r>
    <w:hyperlink r:id="rId1">
      <w:r>
        <w:rPr>
          <w:rFonts w:ascii="Calibri" w:eastAsia="Calibri" w:hAnsi="Calibri" w:cs="Calibri"/>
          <w:color w:val="0563C1"/>
          <w:u w:val="single"/>
        </w:rPr>
        <w:t>www.saudedafamilia.org</w:t>
      </w:r>
    </w:hyperlink>
  </w:p>
  <w:p w14:paraId="3F7E1344" w14:textId="77777777" w:rsidR="00C3023F" w:rsidRDefault="00C302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-709"/>
      <w:rPr>
        <w:color w:val="000000"/>
      </w:rPr>
    </w:pPr>
  </w:p>
  <w:p w14:paraId="62B5F0F1" w14:textId="77777777" w:rsidR="00C3023F" w:rsidRDefault="00C302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709"/>
      <w:rPr>
        <w:color w:val="000000"/>
        <w:sz w:val="22"/>
        <w:szCs w:val="22"/>
      </w:rPr>
    </w:pPr>
  </w:p>
  <w:p w14:paraId="78E93433" w14:textId="77777777" w:rsidR="00C3023F" w:rsidRDefault="00000000">
    <w:pPr>
      <w:jc w:val="right"/>
    </w:pPr>
    <w:r>
      <w:rPr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9A4F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7308F" w14:textId="77777777" w:rsidR="008A2986" w:rsidRDefault="008A2986">
      <w:pPr>
        <w:spacing w:after="0" w:line="240" w:lineRule="auto"/>
      </w:pPr>
      <w:r>
        <w:separator/>
      </w:r>
    </w:p>
  </w:footnote>
  <w:footnote w:type="continuationSeparator" w:id="0">
    <w:p w14:paraId="0531BB8E" w14:textId="77777777" w:rsidR="008A2986" w:rsidRDefault="008A2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433B" w14:textId="77777777" w:rsidR="00C3023F" w:rsidRDefault="00C302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sz w:val="24"/>
        <w:szCs w:val="24"/>
      </w:rPr>
    </w:pPr>
  </w:p>
  <w:tbl>
    <w:tblPr>
      <w:tblStyle w:val="a9"/>
      <w:tblW w:w="10773" w:type="dxa"/>
      <w:jc w:val="center"/>
      <w:tblInd w:w="0" w:type="dxa"/>
      <w:tblBorders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7"/>
      <w:gridCol w:w="857"/>
      <w:gridCol w:w="1417"/>
      <w:gridCol w:w="2552"/>
      <w:gridCol w:w="1134"/>
      <w:gridCol w:w="563"/>
      <w:gridCol w:w="854"/>
      <w:gridCol w:w="1559"/>
    </w:tblGrid>
    <w:tr w:rsidR="00C3023F" w14:paraId="5EDB30B5" w14:textId="77777777">
      <w:trPr>
        <w:trHeight w:val="1398"/>
        <w:tblHeader/>
        <w:jc w:val="center"/>
      </w:trPr>
      <w:tc>
        <w:tcPr>
          <w:tcW w:w="1837" w:type="dxa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5664F384" w14:textId="77777777" w:rsidR="00C3023F" w:rsidRDefault="00000000">
          <w:pP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4E99319" wp14:editId="7FBCF953">
                <wp:simplePos x="0" y="0"/>
                <wp:positionH relativeFrom="column">
                  <wp:posOffset>238125</wp:posOffset>
                </wp:positionH>
                <wp:positionV relativeFrom="paragraph">
                  <wp:posOffset>0</wp:posOffset>
                </wp:positionV>
                <wp:extent cx="1057910" cy="334010"/>
                <wp:effectExtent l="0" t="0" r="0" b="0"/>
                <wp:wrapNone/>
                <wp:docPr id="149760044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91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23" w:type="dxa"/>
          <w:gridSpan w:val="5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9DEFAEC" w14:textId="77777777" w:rsidR="00C3023F" w:rsidRDefault="00000000">
          <w:pPr>
            <w:tabs>
              <w:tab w:val="center" w:pos="4252"/>
              <w:tab w:val="right" w:pos="8504"/>
            </w:tabs>
            <w:ind w:right="1446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FB5DDCA" wp14:editId="4F0A52F1">
                <wp:simplePos x="0" y="0"/>
                <wp:positionH relativeFrom="column">
                  <wp:posOffset>3829050</wp:posOffset>
                </wp:positionH>
                <wp:positionV relativeFrom="paragraph">
                  <wp:posOffset>200025</wp:posOffset>
                </wp:positionV>
                <wp:extent cx="1674495" cy="365760"/>
                <wp:effectExtent l="0" t="0" r="0" b="0"/>
                <wp:wrapNone/>
                <wp:docPr id="149760044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4495" cy="3657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4D261E" w14:textId="77777777" w:rsidR="00C3023F" w:rsidRDefault="00000000">
          <w:pPr>
            <w:tabs>
              <w:tab w:val="center" w:pos="4252"/>
              <w:tab w:val="right" w:pos="8504"/>
            </w:tabs>
            <w:spacing w:before="0" w:after="0" w:line="259" w:lineRule="auto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bCs/>
              <w:color w:val="000000"/>
              <w:sz w:val="23"/>
              <w:szCs w:val="28"/>
            </w:rPr>
            <w:t>DIRETRIZ INSTITUCIONAL DA ESTRATÉGIA</w:t>
            <w:br/>
            <w:t>APOIADOR DA PESSOA COM DEFICIÊNCIA</w:t>
          </w:r>
        </w:p>
      </w:tc>
      <w:tc>
        <w:tcPr>
          <w:tcW w:w="2413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CBC4CCC" w14:textId="77777777" w:rsidR="00C3023F" w:rsidRDefault="00C3023F">
          <w:pP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bCs/>
            </w:rPr>
          </w:pPr>
        </w:p>
      </w:tc>
    </w:tr>
    <w:tr w:rsidR="00C3023F" w14:paraId="3064138B" w14:textId="77777777">
      <w:trPr>
        <w:trHeight w:val="397"/>
        <w:jc w:val="center"/>
      </w:trPr>
      <w:tc>
        <w:tcPr>
          <w:tcW w:w="7797" w:type="dxa"/>
          <w:gridSpan w:val="5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8"/>
            </w:rPr>
            <w:t>Unidade/Área: CER / Estratégia APD</w:t>
          </w:r>
        </w:p>
      </w:tc>
      <w:tc>
        <w:tcPr>
          <w:tcW w:w="2976" w:type="dxa"/>
          <w:gridSpan w:val="3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8"/>
            </w:rPr>
            <w:t>Tipo de documento: Diretriz (minuta)</w:t>
          </w:r>
        </w:p>
      </w:tc>
    </w:tr>
    <w:tr w:rsidR="00C3023F" w14:paraId="435C5F0C" w14:textId="77777777">
      <w:trPr>
        <w:trHeight w:val="397"/>
        <w:jc w:val="center"/>
      </w:trPr>
      <w:tc>
        <w:tcPr>
          <w:tcW w:w="2694" w:type="dxa"/>
          <w:gridSpan w:val="2"/>
          <w:tcBorders>
            <w:top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7"/>
            </w:rPr>
            <w:t>Código: A definir</w:t>
          </w:r>
        </w:p>
      </w:tc>
      <w:tc>
        <w:tcPr>
          <w:tcW w:w="1417" w:type="dxa"/>
          <w:tcBorders>
            <w:top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7"/>
            </w:rPr>
            <w:t>Versão: 00</w:t>
          </w:r>
        </w:p>
      </w:tc>
      <w:tc>
        <w:tcPr>
          <w:tcW w:w="2552" w:type="dxa"/>
          <w:tcBorders>
            <w:top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7"/>
            </w:rPr>
            <w:t>Emissão: A definir</w:t>
          </w:r>
        </w:p>
      </w:tc>
      <w:tc>
        <w:tcPr>
          <w:tcW w:w="2551" w:type="dxa"/>
          <w:gridSpan w:val="3"/>
          <w:tcBorders>
            <w:top w:val="single" w:sz="4" w:space="0" w:color="000000"/>
          </w:tcBorders>
          <w:vAlign w:val="center"/>
        </w:tcPr>
        <w:p>
          <w:pPr>
            <w:spacing w:before="0" w:after="0" w:line="259" w:lineRule="auto"/>
            <w:jc w:val="left"/>
          </w:pPr>
          <w:r>
            <w:rPr>
              <w:rFonts w:ascii="Calibri" w:hAnsi="Calibri"/>
              <w:b w:val="0"/>
              <w:color w:val="000000"/>
              <w:sz w:val="17"/>
            </w:rPr>
            <w:t>Validade: A definir</w:t>
          </w:r>
        </w:p>
      </w:tc>
      <w:tc>
        <w:tcPr>
          <w:tcW w:w="1559" w:type="dxa"/>
          <w:tcBorders>
            <w:top w:val="single" w:sz="4" w:space="0" w:color="000000"/>
          </w:tcBorders>
          <w:vAlign w:val="center"/>
        </w:tcPr>
        <w:p w14:paraId="2572E232" w14:textId="77777777" w:rsidR="00C3023F" w:rsidRDefault="00000000">
          <w:pPr>
            <w:tabs>
              <w:tab w:val="center" w:pos="4252"/>
              <w:tab w:val="right" w:pos="8504"/>
            </w:tabs>
            <w:rPr>
              <w:rFonts w:ascii="Calibri" w:eastAsia="Calibri" w:hAnsi="Calibri" w:cs="Calibri"/>
              <w:b/>
              <w:bCs/>
            </w:rPr>
          </w:pPr>
          <w:r>
            <w:rPr>
              <w:rFonts w:ascii="Calibri" w:eastAsia="Calibri" w:hAnsi="Calibri" w:cs="Calibri"/>
            </w:rPr>
            <w:t xml:space="preserve">Página </w:t>
          </w:r>
          <w:r>
            <w:rPr>
              <w:rFonts w:ascii="Calibri" w:eastAsia="Calibri" w:hAnsi="Calibri" w:cs="Calibri"/>
              <w:b/>
              <w:bCs/>
            </w:rPr>
            <w:fldChar w:fldCharType="begin"/>
          </w:r>
          <w:r>
            <w:rPr>
              <w:rFonts w:ascii="Calibri" w:eastAsia="Calibri" w:hAnsi="Calibri" w:cs="Calibri"/>
              <w:b/>
              <w:bCs/>
            </w:rPr>
            <w:instrText>PAGE</w:instrText>
          </w:r>
          <w:r>
            <w:rPr>
              <w:rFonts w:ascii="Calibri" w:eastAsia="Calibri" w:hAnsi="Calibri" w:cs="Calibri"/>
              <w:b/>
              <w:bCs/>
            </w:rPr>
            <w:fldChar w:fldCharType="separate"/>
          </w:r>
          <w:r w:rsidR="009A4FF5">
            <w:rPr>
              <w:rFonts w:ascii="Calibri" w:eastAsia="Calibri" w:hAnsi="Calibri" w:cs="Calibri"/>
              <w:b/>
              <w:bCs/>
              <w:noProof/>
            </w:rPr>
            <w:t>1</w:t>
          </w:r>
          <w:r>
            <w:rPr>
              <w:rFonts w:ascii="Calibri" w:eastAsia="Calibri" w:hAnsi="Calibri" w:cs="Calibri"/>
              <w:b/>
              <w:bCs/>
            </w:rPr>
            <w:fldChar w:fldCharType="end"/>
          </w:r>
          <w:r>
            <w:rPr>
              <w:rFonts w:ascii="Calibri" w:eastAsia="Calibri" w:hAnsi="Calibri" w:cs="Calibri"/>
            </w:rPr>
            <w:t xml:space="preserve"> de </w:t>
          </w:r>
          <w:r>
            <w:rPr>
              <w:rFonts w:ascii="Calibri" w:eastAsia="Calibri" w:hAnsi="Calibri" w:cs="Calibri"/>
              <w:b/>
              <w:bCs/>
            </w:rPr>
            <w:fldChar w:fldCharType="begin"/>
          </w:r>
          <w:r>
            <w:rPr>
              <w:rFonts w:ascii="Calibri" w:eastAsia="Calibri" w:hAnsi="Calibri" w:cs="Calibri"/>
              <w:b/>
              <w:bCs/>
            </w:rPr>
            <w:instrText>NUMPAGES</w:instrText>
          </w:r>
          <w:r>
            <w:rPr>
              <w:rFonts w:ascii="Calibri" w:eastAsia="Calibri" w:hAnsi="Calibri" w:cs="Calibri"/>
              <w:b/>
              <w:bCs/>
            </w:rPr>
            <w:fldChar w:fldCharType="separate"/>
          </w:r>
          <w:r w:rsidR="009A4FF5">
            <w:rPr>
              <w:rFonts w:ascii="Calibri" w:eastAsia="Calibri" w:hAnsi="Calibri" w:cs="Calibri"/>
              <w:b/>
              <w:bCs/>
              <w:noProof/>
            </w:rPr>
            <w:t>2</w:t>
          </w:r>
          <w:r>
            <w:rPr>
              <w:rFonts w:ascii="Calibri" w:eastAsia="Calibri" w:hAnsi="Calibri" w:cs="Calibri"/>
              <w:b/>
              <w:bCs/>
            </w:rPr>
            <w:fldChar w:fldCharType="end"/>
          </w:r>
        </w:p>
      </w:tc>
    </w:tr>
  </w:tbl>
  <w:p w14:paraId="49B722C1" w14:textId="77777777" w:rsidR="00C3023F" w:rsidRDefault="00C302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23F"/>
    <w:rsid w:val="008A2986"/>
    <w:rsid w:val="008F373C"/>
    <w:rsid w:val="009A4FF5"/>
    <w:rsid w:val="00C3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FDAF"/>
  <w15:docId w15:val="{E22A2B00-689C-475E-8185-7E7FFF7D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pt-BR" w:eastAsia="pt-BR" w:bidi="ar-SA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 w:after="80"/>
      <w:outlineLvl w:val="0"/>
    </w:pPr>
    <w:rPr>
      <w:b/>
      <w:bCs/>
      <w:color w:val="1F375D"/>
      <w:sz w:val="22"/>
      <w:szCs w:val="2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00" w:after="40"/>
      <w:outlineLvl w:val="1"/>
    </w:pPr>
    <w:rPr>
      <w:b/>
      <w:bCs/>
      <w:color w:val="1F375D"/>
      <w:sz w:val="19"/>
      <w:szCs w:val="19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widowControl w:val="0"/>
      <w:outlineLvl w:val="2"/>
    </w:pPr>
    <w:rPr>
      <w:b/>
      <w:bCs/>
      <w:color w:val="1F375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173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173B1"/>
  </w:style>
  <w:style w:type="paragraph" w:styleId="Rodap">
    <w:name w:val="footer"/>
    <w:basedOn w:val="Normal"/>
    <w:link w:val="RodapChar"/>
    <w:uiPriority w:val="99"/>
    <w:unhideWhenUsed/>
    <w:rsid w:val="009173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173B1"/>
  </w:style>
  <w:style w:type="table" w:styleId="Tabelacomgrade">
    <w:name w:val="Table Grid"/>
    <w:basedOn w:val="Tabelanormal"/>
    <w:uiPriority w:val="39"/>
    <w:rsid w:val="009173B1"/>
    <w:pPr>
      <w:spacing w:after="240" w:line="23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uiPriority w:val="1"/>
    <w:rsid w:val="00E670CA"/>
    <w:rPr>
      <w:rFonts w:ascii="Arial" w:eastAsia="Arial" w:hAnsi="Arial"/>
      <w:b/>
      <w:bCs/>
      <w:sz w:val="28"/>
      <w:szCs w:val="28"/>
      <w:lang w:val="en-US"/>
    </w:rPr>
  </w:style>
  <w:style w:type="paragraph" w:styleId="PargrafodaLista">
    <w:name w:val="List Paragraph"/>
    <w:basedOn w:val="Normal"/>
    <w:uiPriority w:val="34"/>
    <w:qFormat/>
    <w:rsid w:val="00E670CA"/>
    <w:pPr>
      <w:spacing w:after="200" w:line="276" w:lineRule="auto"/>
      <w:ind w:left="720"/>
      <w:contextualSpacing/>
    </w:pPr>
  </w:style>
  <w:style w:type="paragraph" w:styleId="SemEspaamento">
    <w:name w:val="No Spacing"/>
    <w:uiPriority w:val="1"/>
    <w:qFormat/>
    <w:rsid w:val="00E670CA"/>
    <w:pPr>
      <w:suppressAutoHyphens/>
    </w:pPr>
    <w:rPr>
      <w:lang w:eastAsia="zh-CN"/>
    </w:rPr>
  </w:style>
  <w:style w:type="table" w:customStyle="1" w:styleId="SombreamentoClaro1">
    <w:name w:val="Sombreamento Claro1"/>
    <w:basedOn w:val="Tabelanormal"/>
    <w:uiPriority w:val="60"/>
    <w:rsid w:val="00E670C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8A3B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3B4D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1"/>
    <w:qFormat/>
    <w:rsid w:val="003A34BB"/>
    <w:pPr>
      <w:widowControl w:val="0"/>
      <w:ind w:hanging="360"/>
    </w:pPr>
    <w:rPr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3A34BB"/>
    <w:rPr>
      <w:rFonts w:ascii="Arial" w:eastAsia="Arial" w:hAnsi="Arial" w:cs="Arial"/>
      <w:sz w:val="24"/>
      <w:szCs w:val="24"/>
      <w:lang w:val="en-US"/>
    </w:rPr>
  </w:style>
  <w:style w:type="paragraph" w:customStyle="1" w:styleId="Default">
    <w:name w:val="Default"/>
    <w:rsid w:val="00BA0C06"/>
    <w:pPr>
      <w:autoSpaceDE w:val="0"/>
      <w:autoSpaceDN w:val="0"/>
      <w:adjustRightInd w:val="0"/>
    </w:pPr>
    <w:rPr>
      <w:color w:val="000000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626EA8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626EA8"/>
  </w:style>
  <w:style w:type="paragraph" w:styleId="Recuodecorpodetexto2">
    <w:name w:val="Body Text Indent 2"/>
    <w:basedOn w:val="Normal"/>
    <w:link w:val="Recuodecorpodetexto2Char"/>
    <w:uiPriority w:val="99"/>
    <w:unhideWhenUsed/>
    <w:rsid w:val="00626EA8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626EA8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626EA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626EA8"/>
    <w:rPr>
      <w:sz w:val="16"/>
      <w:szCs w:val="16"/>
    </w:rPr>
  </w:style>
  <w:style w:type="character" w:styleId="Forte">
    <w:name w:val="Strong"/>
    <w:basedOn w:val="Fontepargpadro"/>
    <w:uiPriority w:val="22"/>
    <w:qFormat/>
    <w:rsid w:val="00626EA8"/>
    <w:rPr>
      <w:b/>
      <w:bCs/>
    </w:rPr>
  </w:style>
  <w:style w:type="table" w:customStyle="1" w:styleId="a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FA6FF7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A6FF7"/>
    <w:rPr>
      <w:color w:val="605E5C"/>
      <w:shd w:val="clear" w:color="auto" w:fill="E1DFDD"/>
    </w:rPr>
  </w:style>
  <w:style w:type="table" w:customStyle="1" w:styleId="a2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rPr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fwwrkf">
    <w:name w:val="fwwrkf"/>
    <w:basedOn w:val="Fontepargpadro"/>
    <w:rsid w:val="005F4418"/>
  </w:style>
  <w:style w:type="paragraph" w:customStyle="1" w:styleId="TableParagraph">
    <w:name w:val="Table Paragraph"/>
    <w:basedOn w:val="Normal"/>
    <w:uiPriority w:val="1"/>
    <w:qFormat/>
    <w:rsid w:val="00912539"/>
    <w:pPr>
      <w:widowControl w:val="0"/>
      <w:autoSpaceDE w:val="0"/>
      <w:autoSpaceDN w:val="0"/>
    </w:pPr>
    <w:rPr>
      <w:sz w:val="22"/>
      <w:szCs w:val="22"/>
      <w:lang w:bidi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pPr>
      <w:spacing w:after="24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24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24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uloAPD">
    <w:name w:val="Subtitulo APD"/>
    <w:basedOn w:val="Normal"/>
    <w:pPr>
      <w:keepNext/>
      <w:spacing w:before="140" w:after="60"/>
    </w:pPr>
    <w:rPr>
      <w:rFonts w:ascii="Calibri" w:hAnsi="Calibri"/>
      <w:b/>
      <w:color w:val="1F37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udedafamilia.org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9ojHykMadGqgEvZshtj6cNgDg==">CgMxLjAyDmgua2pxaHZhZXdyODExOAByITFxenFDSFlBOUw0TkkwUTE2ZW5zR0ltQk9TWnlKY3oyWQ==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332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Mrad</dc:creator>
  <cp:lastModifiedBy>Asf 792</cp:lastModifiedBy>
  <cp:revision>2</cp:revision>
  <dcterms:created xsi:type="dcterms:W3CDTF">2026-10-12T16:44:00Z</dcterms:created>
  <dcterms:modified xsi:type="dcterms:W3CDTF">2026-10-12T16:44:00Z</dcterms:modified>
</cp:coreProperties>
</file>