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832"/>
        <w:gridCol w:w="5832"/>
      </w:tblGrid>
      <w:tr>
        <w:tc>
          <w:tcPr>
            <w:tcW w:type="dxa" w:w="3312"/>
            <w:shd w:fill="0F172A"/>
            <w:tcMar>
              <w:top w:w="100" w:type="dxa"/>
              <w:bottom w:w="100" w:type="dxa"/>
              <w:left w:w="120" w:type="dxa"/>
              <w:right w:w="120" w:type="dxa"/>
            </w:tcMar>
          </w:tcPr>
          <w:p/>
          <w:tbl>
            <w:tblPr>
              <w:tblW w:type="auto" w:w="0"/>
              <w:jc w:val="center"/>
              <w:tblLook w:firstColumn="1" w:firstRow="1" w:lastColumn="0" w:lastRow="0" w:noHBand="0" w:noVBand="1" w:val="04A0"/>
            </w:tblPr>
            <w:tblGrid>
              <w:gridCol w:w="3312"/>
            </w:tblGrid>
            <w:tr>
              <w:tc>
                <w:tcPr>
                  <w:tcW w:type="dxa" w:w="2016"/>
                  <w:shd w:fill="1E293B"/>
                  <w:tcMar>
                    <w:top w:w="40" w:type="dxa"/>
                    <w:bottom w:w="40" w:type="dxa"/>
                    <w:left w:w="40" w:type="dxa"/>
                    <w:right w:w="40" w:type="dxa"/>
                  </w:tcMar>
                </w:tcPr>
                <w:p>
                  <w:pPr>
                    <w:spacing w:before="0" w:after="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profile_headshot_circular.jpeg"/>
                                <pic:cNvPicPr/>
                              </pic:nvPicPr>
                              <pic:blipFill>
                                <a:blip r:embed="rId9"/>
                                <a:stretch>
                                  <a:fillRect/>
                                </a:stretch>
                              </pic:blipFill>
                              <pic:spPr>
                                <a:xfrm>
                                  <a:off x="0" y="0"/>
                                  <a:ext cx="1188720" cy="1188720"/>
                                </a:xfrm>
                                <a:prstGeom prst="rect"/>
                              </pic:spPr>
                            </pic:pic>
                          </a:graphicData>
                        </a:graphic>
                      </wp:inline>
                    </w:drawing>
                  </w:r>
                </w:p>
              </w:tc>
            </w:tr>
          </w:tbl>
          <w:p/>
          <w:p>
            <w:pPr>
              <w:spacing w:before="100" w:after="20"/>
            </w:pPr>
            <w:r>
              <w:rPr>
                <w:rFonts w:ascii="Segoe UI Semibold" w:hAnsi="Segoe UI Semibold"/>
                <w:b/>
                <w:color w:val="38BDF8"/>
                <w:sz w:val="17"/>
              </w:rPr>
              <w:t>CONTACT</w:t>
            </w:r>
          </w:p>
          <w:p>
            <w:pPr>
              <w:spacing w:before="0" w:after="20" w:line="252" w:lineRule="auto"/>
            </w:pPr>
            <w:r>
              <w:rPr>
                <w:color w:val="F8FAFC"/>
                <w:sz w:val="15"/>
              </w:rPr>
              <w:t>✉  koagervais85@gmail.com</w:t>
            </w:r>
          </w:p>
          <w:p>
            <w:pPr>
              <w:spacing w:before="0" w:after="20" w:line="252" w:lineRule="auto"/>
            </w:pPr>
            <w:r>
              <w:rPr>
                <w:color w:val="F8FAFC"/>
                <w:sz w:val="15"/>
              </w:rPr>
              <w:t>✆  +237 695 35 34 02</w:t>
            </w:r>
          </w:p>
          <w:p>
            <w:pPr>
              <w:spacing w:before="0" w:after="20" w:line="252" w:lineRule="auto"/>
            </w:pPr>
            <w:r>
              <w:rPr>
                <w:color w:val="F8FAFC"/>
                <w:sz w:val="15"/>
              </w:rPr>
              <w:t>⌂  Douala / Ngaoundéré, CM</w:t>
            </w:r>
          </w:p>
          <w:p>
            <w:pPr>
              <w:spacing w:before="0" w:after="20" w:line="252" w:lineRule="auto"/>
            </w:pPr>
            <w:r>
              <w:rPr>
                <w:color w:val="F8FAFC"/>
                <w:sz w:val="15"/>
              </w:rPr>
              <w:t>🌐  github.com/gervais-afk</w:t>
            </w:r>
          </w:p>
          <w:p>
            <w:pPr>
              <w:spacing w:before="100" w:after="20"/>
            </w:pPr>
            <w:r>
              <w:rPr>
                <w:rFonts w:ascii="Segoe UI Semibold" w:hAnsi="Segoe UI Semibold"/>
                <w:b/>
                <w:color w:val="38BDF8"/>
                <w:sz w:val="17"/>
              </w:rPr>
              <w:t>IA &amp; LLM</w:t>
            </w:r>
          </w:p>
          <w:p>
            <w:pPr>
              <w:spacing w:before="0" w:after="20" w:line="252" w:lineRule="auto"/>
            </w:pPr>
            <w:r>
              <w:rPr>
                <w:color w:val="F8FAFC"/>
                <w:sz w:val="15"/>
              </w:rPr>
              <w:t>Google Gemma 4   ■ ■ ■ ■ ■</w:t>
            </w:r>
          </w:p>
          <w:p>
            <w:pPr>
              <w:spacing w:before="0" w:after="20" w:line="252" w:lineRule="auto"/>
            </w:pPr>
            <w:r>
              <w:rPr>
                <w:color w:val="F8FAFC"/>
                <w:sz w:val="15"/>
              </w:rPr>
              <w:t>Gemini 1.5 Pro   ■ ■ ■ ■ ■</w:t>
            </w:r>
          </w:p>
          <w:p>
            <w:pPr>
              <w:spacing w:before="0" w:after="20" w:line="252" w:lineRule="auto"/>
            </w:pPr>
            <w:r>
              <w:rPr>
                <w:color w:val="F8FAFC"/>
                <w:sz w:val="15"/>
              </w:rPr>
              <w:t>CrewAI/LangGraph ■ ■ ■ ■ ■</w:t>
            </w:r>
          </w:p>
          <w:p>
            <w:pPr>
              <w:spacing w:before="0" w:after="20" w:line="252" w:lineRule="auto"/>
            </w:pPr>
            <w:r>
              <w:rPr>
                <w:color w:val="F8FAFC"/>
                <w:sz w:val="15"/>
              </w:rPr>
              <w:t>Firebase Genkit  ■ ■ ■ ■ ■</w:t>
            </w:r>
          </w:p>
          <w:p>
            <w:pPr>
              <w:spacing w:before="0" w:after="20" w:line="252" w:lineRule="auto"/>
            </w:pPr>
            <w:r>
              <w:rPr>
                <w:color w:val="F8FAFC"/>
                <w:sz w:val="15"/>
              </w:rPr>
              <w:t>RAG / GraphRAG   ■ ■ ■ ■ ■</w:t>
            </w:r>
          </w:p>
          <w:p>
            <w:pPr>
              <w:spacing w:before="100" w:after="20"/>
            </w:pPr>
            <w:r>
              <w:rPr>
                <w:rFonts w:ascii="Segoe UI Semibold" w:hAnsi="Segoe UI Semibold"/>
                <w:b/>
                <w:color w:val="38BDF8"/>
                <w:sz w:val="17"/>
              </w:rPr>
              <w:t>DATA &amp; GRAPHES</w:t>
            </w:r>
          </w:p>
          <w:p>
            <w:pPr>
              <w:spacing w:before="0" w:after="20" w:line="252" w:lineRule="auto"/>
            </w:pPr>
            <w:r>
              <w:rPr>
                <w:color w:val="F8FAFC"/>
                <w:sz w:val="15"/>
              </w:rPr>
              <w:t>Neo4j (Cypher, N10S) ■ ■ ■ ■ ■</w:t>
            </w:r>
          </w:p>
          <w:p>
            <w:pPr>
              <w:spacing w:before="0" w:after="20" w:line="252" w:lineRule="auto"/>
            </w:pPr>
            <w:r>
              <w:rPr>
                <w:color w:val="F8FAFC"/>
                <w:sz w:val="15"/>
              </w:rPr>
              <w:t>PostgreSQL / SQL    ■ ■ ■ ■ ■</w:t>
            </w:r>
          </w:p>
          <w:p>
            <w:pPr>
              <w:spacing w:before="0" w:after="20" w:line="252" w:lineRule="auto"/>
            </w:pPr>
            <w:r>
              <w:rPr>
                <w:color w:val="F8FAFC"/>
                <w:sz w:val="15"/>
              </w:rPr>
              <w:t>Supabase           ■ ■ ■ ■ □</w:t>
            </w:r>
          </w:p>
          <w:p>
            <w:pPr>
              <w:spacing w:before="0" w:after="20" w:line="252" w:lineRule="auto"/>
            </w:pPr>
            <w:r>
              <w:rPr>
                <w:color w:val="F8FAFC"/>
                <w:sz w:val="15"/>
              </w:rPr>
              <w:t>MLflow (MLOps)     ■ ■ ■ ■ □</w:t>
            </w:r>
          </w:p>
          <w:p>
            <w:pPr>
              <w:spacing w:before="0" w:after="20" w:line="252" w:lineRule="auto"/>
            </w:pPr>
            <w:r>
              <w:rPr>
                <w:color w:val="F8FAFC"/>
                <w:sz w:val="15"/>
              </w:rPr>
              <w:t>Pandas / NumPy     ■ ■ ■ ■ ■</w:t>
            </w:r>
          </w:p>
          <w:p>
            <w:pPr>
              <w:spacing w:before="100" w:after="20"/>
            </w:pPr>
            <w:r>
              <w:rPr>
                <w:rFonts w:ascii="Segoe UI Semibold" w:hAnsi="Segoe UI Semibold"/>
                <w:b/>
                <w:color w:val="38BDF8"/>
                <w:sz w:val="17"/>
              </w:rPr>
              <w:t>DEV &amp; BIM</w:t>
            </w:r>
          </w:p>
          <w:p>
            <w:pPr>
              <w:spacing w:before="0" w:after="20" w:line="252" w:lineRule="auto"/>
            </w:pPr>
            <w:r>
              <w:rPr>
                <w:color w:val="F8FAFC"/>
                <w:sz w:val="15"/>
              </w:rPr>
              <w:t>Python (BAEL 91)   ■ ■ ■ ■ ■</w:t>
            </w:r>
          </w:p>
          <w:p>
            <w:pPr>
              <w:spacing w:before="0" w:after="20" w:line="252" w:lineRule="auto"/>
            </w:pPr>
            <w:r>
              <w:rPr>
                <w:color w:val="F8FAFC"/>
                <w:sz w:val="15"/>
              </w:rPr>
              <w:t>IfcOpenShell (5D)  ■ ■ ■ ■ □</w:t>
            </w:r>
          </w:p>
          <w:p>
            <w:pPr>
              <w:spacing w:before="0" w:after="20" w:line="252" w:lineRule="auto"/>
            </w:pPr>
            <w:r>
              <w:rPr>
                <w:color w:val="F8FAFC"/>
                <w:sz w:val="15"/>
              </w:rPr>
              <w:t>Next.js 14 / React ■ ■ ■ ■ □</w:t>
            </w:r>
          </w:p>
          <w:p>
            <w:pPr>
              <w:spacing w:before="0" w:after="20" w:line="252" w:lineRule="auto"/>
            </w:pPr>
            <w:r>
              <w:rPr>
                <w:color w:val="F8FAFC"/>
                <w:sz w:val="15"/>
              </w:rPr>
              <w:t>FastAPI / Node     ■ ■ ■ ■ □</w:t>
            </w:r>
          </w:p>
          <w:p>
            <w:pPr>
              <w:spacing w:before="0" w:after="20" w:line="252" w:lineRule="auto"/>
            </w:pPr>
            <w:r>
              <w:rPr>
                <w:color w:val="F8FAFC"/>
                <w:sz w:val="15"/>
              </w:rPr>
              <w:t>Streamlit          ■ ■ ■ ■ ■</w:t>
            </w:r>
          </w:p>
          <w:p>
            <w:pPr>
              <w:spacing w:before="0" w:after="20" w:line="252" w:lineRule="auto"/>
            </w:pPr>
            <w:r>
              <w:rPr>
                <w:color w:val="F8FAFC"/>
                <w:sz w:val="15"/>
              </w:rPr>
              <w:t>Docker &amp; Git       ■ ■ ■ ■ □</w:t>
            </w:r>
          </w:p>
          <w:p>
            <w:pPr>
              <w:spacing w:before="100" w:after="20"/>
            </w:pPr>
            <w:r>
              <w:rPr>
                <w:rFonts w:ascii="Segoe UI Semibold" w:hAnsi="Segoe UI Semibold"/>
                <w:b/>
                <w:color w:val="38BDF8"/>
                <w:sz w:val="17"/>
              </w:rPr>
              <w:t>LANGUES</w:t>
            </w:r>
          </w:p>
          <w:p>
            <w:pPr>
              <w:spacing w:before="0" w:after="20" w:line="252" w:lineRule="auto"/>
            </w:pPr>
            <w:r>
              <w:rPr>
                <w:color w:val="F8FAFC"/>
                <w:sz w:val="15"/>
              </w:rPr>
              <w:t>Français (Courant)</w:t>
            </w:r>
          </w:p>
          <w:p>
            <w:pPr>
              <w:spacing w:before="0" w:after="20" w:line="252" w:lineRule="auto"/>
            </w:pPr>
            <w:r>
              <w:rPr>
                <w:color w:val="F8FAFC"/>
                <w:sz w:val="15"/>
              </w:rPr>
              <w:t>Anglais (Technique / Pro)</w:t>
            </w:r>
          </w:p>
          <w:p>
            <w:pPr>
              <w:spacing w:before="100" w:after="20"/>
            </w:pPr>
            <w:r>
              <w:rPr>
                <w:rFonts w:ascii="Segoe UI Semibold" w:hAnsi="Segoe UI Semibold"/>
                <w:b/>
                <w:color w:val="38BDF8"/>
                <w:sz w:val="17"/>
              </w:rPr>
              <w:t>ATOUTS CLÉS</w:t>
            </w:r>
          </w:p>
          <w:p>
            <w:pPr>
              <w:spacing w:before="0" w:after="20" w:line="252" w:lineRule="auto"/>
            </w:pPr>
            <w:r>
              <w:rPr>
                <w:color w:val="F8FAFC"/>
                <w:sz w:val="15"/>
              </w:rPr>
              <w:t>◈ Double compétence IA &amp; Génie Civil</w:t>
            </w:r>
          </w:p>
          <w:p>
            <w:pPr>
              <w:spacing w:before="0" w:after="20" w:line="252" w:lineRule="auto"/>
            </w:pPr>
            <w:r>
              <w:rPr>
                <w:color w:val="F8FAFC"/>
                <w:sz w:val="15"/>
              </w:rPr>
              <w:t>◈ Sûreté &amp; Gestion risques (AVSEC)</w:t>
            </w:r>
          </w:p>
          <w:p>
            <w:pPr>
              <w:spacing w:before="0" w:after="20" w:line="252" w:lineRule="auto"/>
            </w:pPr>
            <w:r>
              <w:rPr>
                <w:color w:val="F8FAFC"/>
                <w:sz w:val="15"/>
              </w:rPr>
              <w:t>◈ Rigueur de calcul &amp; Guardrails IA</w:t>
            </w:r>
          </w:p>
        </w:tc>
        <w:tc>
          <w:tcPr>
            <w:tcW w:type="dxa" w:w="7632"/>
            <w:shd w:fill="FFFFFF"/>
            <w:tcMar>
              <w:top w:w="100" w:type="dxa"/>
              <w:bottom w:w="100" w:type="dxa"/>
              <w:left w:w="140" w:type="dxa"/>
              <w:right w:w="100" w:type="dxa"/>
            </w:tcMar>
          </w:tcPr>
          <w:p>
            <w:pPr>
              <w:spacing w:before="0" w:after="20"/>
            </w:pPr>
            <w:r>
              <w:rPr>
                <w:rFonts w:ascii="Segoe UI" w:hAnsi="Segoe UI"/>
                <w:b/>
                <w:color w:val="0A1128"/>
                <w:sz w:val="30"/>
              </w:rPr>
              <w:t>KOA MARIE GERVAIS NELLY</w:t>
            </w:r>
          </w:p>
          <w:p>
            <w:pPr>
              <w:spacing w:before="0" w:after="20"/>
            </w:pPr>
            <w:r>
              <w:rPr>
                <w:b/>
                <w:color w:val="0284C7"/>
                <w:sz w:val="17"/>
              </w:rPr>
              <w:t>Lead AI Engineer &amp; Consultant IA / Data   │   Fondateur @ Archi Cam AI</w:t>
            </w:r>
          </w:p>
          <w:p>
            <w:pPr>
              <w:spacing w:before="0" w:after="60"/>
            </w:pPr>
            <w:r>
              <w:rPr>
                <w:color w:val="0284C7"/>
                <w:sz w:val="14"/>
              </w:rPr>
              <w:t>─── ◈ ────────────────────────────────────────────────────────── ◈ ───</w:t>
            </w:r>
          </w:p>
          <w:p>
            <w:pPr>
              <w:spacing w:before="100" w:after="30"/>
            </w:pPr>
            <w:r>
              <w:rPr>
                <w:b/>
                <w:color w:val="0284C7"/>
                <w:sz w:val="17"/>
              </w:rPr>
              <w:t xml:space="preserve">◈  </w:t>
            </w:r>
            <w:r>
              <w:rPr>
                <w:rFonts w:ascii="Segoe UI" w:hAnsi="Segoe UI"/>
                <w:b/>
                <w:color w:val="0A1128"/>
                <w:sz w:val="18"/>
              </w:rPr>
              <w:t>RÉSUMÉ PROFESSIONNEL</w:t>
            </w:r>
          </w:p>
          <w:p>
            <w:pPr>
              <w:spacing w:before="0" w:after="60" w:line="252" w:lineRule="auto"/>
            </w:pPr>
            <w:r>
              <w:rPr>
                <w:color w:val="334155"/>
                <w:sz w:val="16"/>
              </w:rPr>
              <w:t>Consultant IA &amp; Lead AI Engineer, j'accompagne les entreprises dans la transformation de leurs données complexes en leviers décisionnels à forte valeur ajoutée. Spécialiste des Agents IA autonomes, du GraphRAG (Neo4j N10S) et de la Business Intelligence sécurisée (Sovereign.BI), je développe des solutions d'IA souveraines, étanches et explicables (audits SHAP). Fondateur d'Archi Cam AI pour le Google Africa Applied AI Lab, j'allie méthodologie d'ingénieur et vision produit.</w:t>
            </w:r>
          </w:p>
          <w:p>
            <w:pPr>
              <w:spacing w:before="100" w:after="30"/>
            </w:pPr>
            <w:r>
              <w:rPr>
                <w:b/>
                <w:color w:val="0284C7"/>
                <w:sz w:val="17"/>
              </w:rPr>
              <w:t xml:space="preserve">◈  </w:t>
            </w:r>
            <w:r>
              <w:rPr>
                <w:rFonts w:ascii="Segoe UI" w:hAnsi="Segoe UI"/>
                <w:b/>
                <w:color w:val="0A1128"/>
                <w:sz w:val="18"/>
              </w:rPr>
              <w:t>PROJETS IA MAJEURS</w:t>
            </w:r>
          </w:p>
          <w:p>
            <w:pPr>
              <w:spacing w:before="50" w:after="10"/>
            </w:pPr>
            <w:r>
              <w:rPr>
                <w:b/>
                <w:color w:val="0A1128"/>
                <w:sz w:val="17"/>
              </w:rPr>
              <w:t xml:space="preserve">Archi Cam AI 🏛️  </w:t>
            </w:r>
            <w:r>
              <w:rPr>
                <w:i/>
                <w:color w:val="0284C7"/>
                <w:sz w:val="15"/>
              </w:rPr>
              <w:t>–  SaaS IA Agentique &amp; 5D BIM</w:t>
            </w:r>
          </w:p>
          <w:p>
            <w:pPr>
              <w:spacing w:before="0" w:after="10"/>
              <w:ind w:left="144"/>
            </w:pPr>
            <w:r>
              <w:rPr>
                <w:b/>
                <w:color w:val="0284C7"/>
                <w:sz w:val="15"/>
              </w:rPr>
              <w:t xml:space="preserve">▸  </w:t>
            </w:r>
            <w:r>
              <w:rPr>
                <w:color w:val="334155"/>
                <w:sz w:val="15"/>
              </w:rPr>
              <w:t>Candidat officiel au Google Africa Applied AI Lab (Accra, Ghana). Plateforme de chiffrage et modélisation BIM 5D pour le BTP africain.</w:t>
            </w:r>
          </w:p>
          <w:p>
            <w:pPr>
              <w:spacing w:before="0" w:after="10"/>
              <w:ind w:left="144"/>
            </w:pPr>
            <w:r>
              <w:rPr>
                <w:b/>
                <w:color w:val="0284C7"/>
                <w:sz w:val="15"/>
              </w:rPr>
              <w:t xml:space="preserve">▸  </w:t>
            </w:r>
            <w:r>
              <w:rPr>
                <w:color w:val="334155"/>
                <w:sz w:val="15"/>
              </w:rPr>
              <w:t>Combinaison de Gemma 4 12B local, Gemini 1.5 Pro et d'un moteur Python Sandbox (IfcOpenShell, BAEL 91).</w:t>
            </w:r>
          </w:p>
          <w:p>
            <w:pPr>
              <w:spacing w:before="0" w:after="10"/>
              <w:ind w:left="144"/>
            </w:pPr>
            <w:r>
              <w:rPr>
                <w:b/>
                <w:color w:val="0284C7"/>
                <w:sz w:val="15"/>
              </w:rPr>
              <w:t xml:space="preserve">▸  </w:t>
            </w:r>
            <w:r>
              <w:rPr>
                <w:color w:val="334155"/>
                <w:sz w:val="15"/>
              </w:rPr>
              <w:t>Génération automatique de devis Excel normés (DQE) et rendus photoréalistes via Imagen 3 + ControlNet.</w:t>
            </w:r>
          </w:p>
          <w:p>
            <w:pPr>
              <w:spacing w:before="50" w:after="10"/>
            </w:pPr>
            <w:r>
              <w:rPr>
                <w:b/>
                <w:color w:val="0A1128"/>
                <w:sz w:val="17"/>
              </w:rPr>
              <w:t xml:space="preserve">Sovereign.BI Agentic 📊  </w:t>
            </w:r>
            <w:r>
              <w:rPr>
                <w:i/>
                <w:color w:val="0284C7"/>
                <w:sz w:val="15"/>
              </w:rPr>
              <w:t>–  Business Intelligence Agentique</w:t>
            </w:r>
          </w:p>
          <w:p>
            <w:pPr>
              <w:spacing w:before="0" w:after="10"/>
              <w:ind w:left="144"/>
            </w:pPr>
            <w:r>
              <w:rPr>
                <w:b/>
                <w:color w:val="0284C7"/>
                <w:sz w:val="15"/>
              </w:rPr>
              <w:t xml:space="preserve">▸  </w:t>
            </w:r>
            <w:r>
              <w:rPr>
                <w:color w:val="334155"/>
                <w:sz w:val="15"/>
              </w:rPr>
              <w:t>Moteur décisionnel permettant d'interroger des bases de données SQL complexes en langage naturel.</w:t>
            </w:r>
          </w:p>
          <w:p>
            <w:pPr>
              <w:spacing w:before="0" w:after="10"/>
              <w:ind w:left="144"/>
            </w:pPr>
            <w:r>
              <w:rPr>
                <w:b/>
                <w:color w:val="0284C7"/>
                <w:sz w:val="15"/>
              </w:rPr>
              <w:t xml:space="preserve">▸  </w:t>
            </w:r>
            <w:r>
              <w:rPr>
                <w:color w:val="334155"/>
                <w:sz w:val="15"/>
              </w:rPr>
              <w:t>Architecture TypeScript Orchestrator, Neo4j N10S (GraphRAG) et FastAPI/PostgreSQL.</w:t>
            </w:r>
          </w:p>
          <w:p>
            <w:pPr>
              <w:spacing w:before="0" w:after="10"/>
              <w:ind w:left="144"/>
            </w:pPr>
            <w:r>
              <w:rPr>
                <w:b/>
                <w:color w:val="0284C7"/>
                <w:sz w:val="15"/>
              </w:rPr>
              <w:t xml:space="preserve">▸  </w:t>
            </w:r>
            <w:r>
              <w:rPr>
                <w:color w:val="334155"/>
                <w:sz w:val="15"/>
              </w:rPr>
              <w:t>Intégration de guardrails dynamiques anti-injection et d'un auditeur d'explicabilité SHAP Sentinel.</w:t>
            </w:r>
          </w:p>
          <w:p>
            <w:pPr>
              <w:spacing w:before="50" w:after="10"/>
            </w:pPr>
            <w:r>
              <w:rPr>
                <w:b/>
                <w:color w:val="0A1128"/>
                <w:sz w:val="17"/>
              </w:rPr>
              <w:t xml:space="preserve">Dataset Automator ⚙️ &amp; VigieSahel 🌾  </w:t>
            </w:r>
            <w:r>
              <w:rPr>
                <w:i/>
                <w:color w:val="0284C7"/>
                <w:sz w:val="15"/>
              </w:rPr>
              <w:t>–  MLOps &amp; IA Impact Climat</w:t>
            </w:r>
          </w:p>
          <w:p>
            <w:pPr>
              <w:spacing w:before="0" w:after="10"/>
              <w:ind w:left="144"/>
            </w:pPr>
            <w:r>
              <w:rPr>
                <w:b/>
                <w:color w:val="0284C7"/>
                <w:sz w:val="15"/>
              </w:rPr>
              <w:t xml:space="preserve">▸  </w:t>
            </w:r>
            <w:r>
              <w:rPr>
                <w:color w:val="334155"/>
                <w:sz w:val="15"/>
              </w:rPr>
              <w:t>Dataset Automator : Pipeline RAG d'évaluation de séries temporelles (Neo4j, MLflow, Genkit, Gemma-2).</w:t>
            </w:r>
          </w:p>
          <w:p>
            <w:pPr>
              <w:spacing w:before="0" w:after="10"/>
              <w:ind w:left="144"/>
            </w:pPr>
            <w:r>
              <w:rPr>
                <w:b/>
                <w:color w:val="0284C7"/>
                <w:sz w:val="15"/>
              </w:rPr>
              <w:t xml:space="preserve">▸  </w:t>
            </w:r>
            <w:r>
              <w:rPr>
                <w:color w:val="334155"/>
                <w:sz w:val="15"/>
              </w:rPr>
              <w:t>VigieSahel : Plateforme prédictive d'optimisation des semis et suivi sanitaires (Streamlit, Supabase, ML).</w:t>
            </w:r>
          </w:p>
          <w:p>
            <w:pPr>
              <w:spacing w:before="100" w:after="30"/>
            </w:pPr>
            <w:r>
              <w:rPr>
                <w:b/>
                <w:color w:val="0284C7"/>
                <w:sz w:val="17"/>
              </w:rPr>
              <w:t xml:space="preserve">◈  </w:t>
            </w:r>
            <w:r>
              <w:rPr>
                <w:rFonts w:ascii="Segoe UI" w:hAnsi="Segoe UI"/>
                <w:b/>
                <w:color w:val="0A1128"/>
                <w:sz w:val="18"/>
              </w:rPr>
              <w:t>PARCOURS PROFESSIONNEL</w:t>
            </w:r>
          </w:p>
          <w:p>
            <w:pPr>
              <w:spacing w:before="50" w:after="10"/>
            </w:pPr>
            <w:r>
              <w:rPr>
                <w:b/>
                <w:color w:val="0A1128"/>
                <w:sz w:val="17"/>
              </w:rPr>
              <w:t xml:space="preserve">Consultant IA &amp; Data Science  </w:t>
            </w:r>
            <w:r>
              <w:rPr>
                <w:i/>
                <w:color w:val="0284C7"/>
                <w:sz w:val="15"/>
              </w:rPr>
              <w:t>(2025 – Présent)</w:t>
            </w:r>
          </w:p>
          <w:p>
            <w:pPr>
              <w:spacing w:before="0" w:after="10"/>
            </w:pPr>
            <w:r>
              <w:rPr>
                <w:b/>
                <w:color w:val="64748B"/>
                <w:sz w:val="15"/>
              </w:rPr>
              <w:t>Projets Indépendants &amp; Entreprises  │  Douala</w:t>
            </w:r>
          </w:p>
          <w:p>
            <w:pPr>
              <w:spacing w:before="0" w:after="10"/>
              <w:ind w:left="144"/>
            </w:pPr>
            <w:r>
              <w:rPr>
                <w:b/>
                <w:color w:val="0284C7"/>
                <w:sz w:val="15"/>
              </w:rPr>
              <w:t xml:space="preserve">▸  </w:t>
            </w:r>
            <w:r>
              <w:rPr>
                <w:color w:val="334155"/>
                <w:sz w:val="15"/>
              </w:rPr>
              <w:t>J'accompagne les entreprises dans l'adoption d'IA souveraines dans leurs tâches.</w:t>
            </w:r>
          </w:p>
          <w:p>
            <w:pPr>
              <w:spacing w:before="0" w:after="10"/>
              <w:ind w:left="144"/>
            </w:pPr>
            <w:r>
              <w:rPr>
                <w:b/>
                <w:color w:val="0284C7"/>
                <w:sz w:val="15"/>
              </w:rPr>
              <w:t xml:space="preserve">▸  </w:t>
            </w:r>
            <w:r>
              <w:rPr>
                <w:color w:val="334155"/>
                <w:sz w:val="15"/>
              </w:rPr>
              <w:t>Analyse exploratoire et prétraitement de jeux de données massifs complexes.</w:t>
            </w:r>
          </w:p>
          <w:p>
            <w:pPr>
              <w:spacing w:before="0" w:after="10"/>
              <w:ind w:left="144"/>
            </w:pPr>
            <w:r>
              <w:rPr>
                <w:b/>
                <w:color w:val="0284C7"/>
                <w:sz w:val="15"/>
              </w:rPr>
              <w:t xml:space="preserve">▸  </w:t>
            </w:r>
            <w:r>
              <w:rPr>
                <w:color w:val="334155"/>
                <w:sz w:val="15"/>
              </w:rPr>
              <w:t>Modélisation de graphes de connaissances (Neo4j Cypher) et développement de pipelines RAG.</w:t>
            </w:r>
          </w:p>
          <w:p>
            <w:pPr>
              <w:spacing w:before="0" w:after="10"/>
              <w:ind w:left="144"/>
            </w:pPr>
            <w:r>
              <w:rPr>
                <w:b/>
                <w:color w:val="0284C7"/>
                <w:sz w:val="15"/>
              </w:rPr>
              <w:t xml:space="preserve">▸  </w:t>
            </w:r>
            <w:r>
              <w:rPr>
                <w:color w:val="334155"/>
                <w:sz w:val="15"/>
              </w:rPr>
              <w:t>Conception de bases de données SQL/PostgreSQL et reporting décisionnel interactif.</w:t>
            </w:r>
          </w:p>
          <w:p>
            <w:pPr>
              <w:spacing w:before="50" w:after="10"/>
            </w:pPr>
            <w:r>
              <w:rPr>
                <w:b/>
                <w:color w:val="0A1128"/>
                <w:sz w:val="17"/>
              </w:rPr>
              <w:t xml:space="preserve">Agent de Sûreté Aéroportuaire (AVSEC)  </w:t>
            </w:r>
            <w:r>
              <w:rPr>
                <w:i/>
                <w:color w:val="0284C7"/>
                <w:sz w:val="15"/>
              </w:rPr>
              <w:t>(2018 – Présent)</w:t>
            </w:r>
          </w:p>
          <w:p>
            <w:pPr>
              <w:spacing w:before="0" w:after="10"/>
            </w:pPr>
            <w:r>
              <w:rPr>
                <w:b/>
                <w:color w:val="64748B"/>
                <w:sz w:val="15"/>
              </w:rPr>
              <w:t>CCAA (Autorité Aéronautique du Cameroun)</w:t>
            </w:r>
          </w:p>
          <w:p>
            <w:pPr>
              <w:spacing w:before="0" w:after="10"/>
              <w:ind w:left="144"/>
            </w:pPr>
            <w:r>
              <w:rPr>
                <w:b/>
                <w:color w:val="0284C7"/>
                <w:sz w:val="15"/>
              </w:rPr>
              <w:t xml:space="preserve">▸  </w:t>
            </w:r>
            <w:r>
              <w:rPr>
                <w:color w:val="334155"/>
                <w:sz w:val="15"/>
              </w:rPr>
              <w:t>Analyse des risques critiques, inspection sûreté et contrôle strict des accès sécurisés.</w:t>
            </w:r>
          </w:p>
          <w:p>
            <w:pPr>
              <w:spacing w:before="0" w:after="10"/>
              <w:ind w:left="144"/>
            </w:pPr>
            <w:r>
              <w:rPr>
                <w:b/>
                <w:color w:val="0284C7"/>
                <w:sz w:val="15"/>
              </w:rPr>
              <w:t xml:space="preserve">▸  </w:t>
            </w:r>
            <w:r>
              <w:rPr>
                <w:color w:val="334155"/>
                <w:sz w:val="15"/>
              </w:rPr>
              <w:t>Rédaction de rapports d'audit de sûreté et coordination d'interventions opérationnelles.</w:t>
            </w:r>
          </w:p>
          <w:p>
            <w:pPr>
              <w:spacing w:before="100" w:after="30"/>
            </w:pPr>
            <w:r>
              <w:rPr>
                <w:b/>
                <w:color w:val="0284C7"/>
                <w:sz w:val="17"/>
              </w:rPr>
              <w:t xml:space="preserve">◈  </w:t>
            </w:r>
            <w:r>
              <w:rPr>
                <w:rFonts w:ascii="Segoe UI" w:hAnsi="Segoe UI"/>
                <w:b/>
                <w:color w:val="0A1128"/>
                <w:sz w:val="18"/>
              </w:rPr>
              <w:t>FORMATION ACADÉMIQUE</w:t>
            </w:r>
          </w:p>
          <w:p>
            <w:pPr>
              <w:spacing w:before="30" w:after="10"/>
            </w:pPr>
            <w:r>
              <w:rPr>
                <w:b/>
                <w:color w:val="0A1128"/>
                <w:sz w:val="17"/>
              </w:rPr>
              <w:t xml:space="preserve">Master professionnel intelligence artificielle appliquée  </w:t>
            </w:r>
            <w:r>
              <w:rPr>
                <w:i/>
                <w:color w:val="0284C7"/>
                <w:sz w:val="15"/>
              </w:rPr>
              <w:t>(2025 – 2027)</w:t>
            </w:r>
            <w:r>
              <w:rPr>
                <w:b/>
                <w:color w:val="0284C7"/>
                <w:sz w:val="15"/>
              </w:rPr>
              <w:t xml:space="preserve">   [En cours d'obtention]</w:t>
            </w:r>
          </w:p>
          <w:p>
            <w:pPr>
              <w:spacing w:before="0" w:after="10"/>
            </w:pPr>
            <w:r>
              <w:rPr>
                <w:color w:val="64748B"/>
                <w:sz w:val="15"/>
              </w:rPr>
              <w:t>Université de Ngaoundéré  │  Modélisation Graphes (Neo4j), MLOps, Prompt Engineering &amp; LLM</w:t>
            </w:r>
          </w:p>
          <w:p>
            <w:pPr>
              <w:spacing w:before="30" w:after="10"/>
            </w:pPr>
            <w:r>
              <w:rPr>
                <w:b/>
                <w:color w:val="0A1128"/>
                <w:sz w:val="17"/>
              </w:rPr>
              <w:t xml:space="preserve">Licence &amp; BTS Génie Civil (Option Bâtiment)  </w:t>
            </w:r>
            <w:r>
              <w:rPr>
                <w:i/>
                <w:color w:val="0284C7"/>
                <w:sz w:val="15"/>
              </w:rPr>
              <w:t>(2015 – 2016)</w:t>
            </w:r>
          </w:p>
          <w:p>
            <w:pPr>
              <w:spacing w:before="0" w:after="10"/>
            </w:pPr>
            <w:r>
              <w:rPr>
                <w:color w:val="64748B"/>
                <w:sz w:val="15"/>
              </w:rPr>
              <w:t>ISTDI / IUC Douala  │  Dimensionnement structures (BAEL 91), métrés &amp; gestion projets BTP</w:t>
            </w:r>
          </w:p>
        </w:tc>
      </w:tr>
    </w:tbl>
    <w:sectPr w:rsidR="00FC693F" w:rsidRPr="0006063C" w:rsidSect="00034616">
      <w:pgSz w:w="12240" w:h="15840"/>
      <w:pgMar w:top="288" w:right="288" w:bottom="288" w:left="2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