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2C306C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2C306C" w:rsidRDefault="00A021B6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C306C" w:rsidRDefault="00A021B6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2C306C" w:rsidRDefault="00A021B6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</w:t>
            </w:r>
            <w:r>
              <w:rPr>
                <w:color w:val="0284C7"/>
                <w:sz w:val="10"/>
              </w:rPr>
              <w:t>━━━━━━━━━━━━━━━━━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Anglais   —  Bases fonctionnelles </w:t>
            </w:r>
            <w:r>
              <w:rPr>
                <w:color w:val="F8FAFC"/>
                <w:sz w:val="15"/>
              </w:rPr>
              <w:t>(outils &amp; doc.</w:t>
            </w:r>
          </w:p>
          <w:p w:rsidR="002C306C" w:rsidRDefault="00A021B6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2C306C" w:rsidRDefault="00A021B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2C306C" w:rsidRDefault="00A021B6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2C306C" w:rsidRDefault="00A021B6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2C306C" w:rsidRDefault="00A021B6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2C306C" w:rsidRDefault="00A021B6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</w:t>
            </w:r>
          </w:p>
          <w:p w:rsidR="002C306C" w:rsidRDefault="00A021B6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2C306C" w:rsidRDefault="00A021B6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C306C" w:rsidRDefault="00A021B6">
            <w:pPr>
              <w:spacing w:after="32" w:line="271" w:lineRule="auto"/>
            </w:pPr>
            <w:r>
              <w:rPr>
                <w:color w:val="334155"/>
              </w:rPr>
              <w:t>Consultant IA &amp; Lead AI Engineer (Google Developer Program Member), je conçois des architectures d'agents auton</w:t>
            </w:r>
            <w:r>
              <w:rPr>
                <w:color w:val="334155"/>
              </w:rPr>
              <w:t>omes neuro-symboliques, GraphRAG (Neo4j) et pipelines MLOps souverains avec Google Antigravity. Expert en éthique de l'IA : transparence SHAP, conformité EU AI Act et modèles zéro-hallucination. Fondateur d'Archi Cam AI (candidature Google Africa Applied A</w:t>
            </w:r>
            <w:r>
              <w:rPr>
                <w:color w:val="334155"/>
              </w:rPr>
              <w:t>I Lab 2026), j'allie rigueur mathématique, vision produit et double expertise IA / Génie Civil.</w:t>
            </w:r>
          </w:p>
          <w:p w:rsidR="002C306C" w:rsidRDefault="00A021B6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2C306C" w:rsidRDefault="00A021B6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SaaS IA Agentique &amp; 5D BIM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Candidature officielle </w:t>
            </w:r>
            <w:r>
              <w:rPr>
                <w:color w:val="334155"/>
                <w:sz w:val="15"/>
              </w:rPr>
              <w:t>Google Africa Applied AI Lab. Développé sous Google Antigravity (Gemma 4 12B, Gemini 2.5, BAEL 91).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Génération DQE Excel &lt;45s (–99,2% temps, R²=0,9872 MLflow) et rendus 3D Imagen 3 + ControlNet.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IA Souveraine Multi-Agents, Wik</w:t>
            </w:r>
            <w:r>
              <w:rPr>
                <w:i/>
                <w:color w:val="0284C7"/>
                <w:sz w:val="15"/>
              </w:rPr>
              <w:t>iSkills &amp; Certification OKF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Système souverain DMI (Univ. Ngaoundéré) : 470 thèses, 19 projets M1, graphe Neo4j 1 366 nœuds.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6 agents LangGraph orchestrés via WikiSkills (critic anti-hallucination, Cypher optimizer), RRF k=60, SHA-256 No-LLM (100%).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S</w:t>
            </w:r>
            <w:r>
              <w:rPr>
                <w:b/>
                <w:color w:val="0A1128"/>
                <w:sz w:val="18"/>
              </w:rPr>
              <w:t>overeign.BI Agentic</w:t>
            </w:r>
            <w:r>
              <w:rPr>
                <w:i/>
                <w:color w:val="0284C7"/>
                <w:sz w:val="15"/>
              </w:rPr>
              <w:t xml:space="preserve">   —   Business Intelligence &amp; NL-to-SQL/Cypher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Moteur NL-to-SQL/Graph (PostgreSQL pgvector + Neo4j N10S, latence &lt;5s) avec guardrails ABAC et SHAP Sentinel Audit.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&amp; IA Impact Agro-Climatique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 : usine MLOps Antigravity (TabFM, BigQuery DataFrames, Data Drift KS/PSI, EU AI Act).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 : –35% pertes semis, anticipation épidémies +14j (XGBoost R²&gt;94%, Supabase, MLflow).</w:t>
            </w:r>
          </w:p>
          <w:p w:rsidR="002C306C" w:rsidRDefault="00A021B6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2C306C" w:rsidRDefault="00A021B6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  <w:sz w:val="15"/>
              </w:rPr>
              <w:t xml:space="preserve">   —   2025 – Présent</w:t>
            </w:r>
          </w:p>
          <w:p w:rsidR="002C306C" w:rsidRDefault="00A021B6">
            <w:pPr>
              <w:spacing w:after="6"/>
            </w:pPr>
            <w:r>
              <w:rPr>
                <w:b/>
                <w:color w:val="64748B"/>
                <w:sz w:val="15"/>
              </w:rPr>
              <w:t>Projets Indépendants &amp; Entreprises  │  Douala, CM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IA souveraines éthiques, pipelines RAG/GraphRAG Neo4j, EDA haute dimension et reporting décisionnel exécutif.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Age</w:t>
            </w:r>
            <w:r>
              <w:rPr>
                <w:b/>
                <w:color w:val="0A1128"/>
                <w:sz w:val="18"/>
              </w:rPr>
              <w:t>nt de Sûreté Aéroportuaire (AVSEC)</w:t>
            </w:r>
            <w:r>
              <w:rPr>
                <w:i/>
                <w:color w:val="0284C7"/>
                <w:sz w:val="15"/>
              </w:rPr>
              <w:t xml:space="preserve">   —   2018 – Présent</w:t>
            </w:r>
          </w:p>
          <w:p w:rsidR="002C306C" w:rsidRDefault="00A021B6">
            <w:pPr>
              <w:spacing w:after="6"/>
            </w:pPr>
            <w:r>
              <w:rPr>
                <w:b/>
                <w:color w:val="64748B"/>
                <w:sz w:val="15"/>
              </w:rPr>
              <w:t>CCAA — Autorité Aéronautique du Cameroun  │  Douala, CM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Évaluation des menaces, contrôle d'accès sécurisé, audits de conformité réglementaire ICAO Annex 17.</w:t>
            </w:r>
          </w:p>
          <w:p w:rsidR="002C306C" w:rsidRDefault="00A021B6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2C306C" w:rsidRDefault="00A021B6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Master Professionnel — Intelligence Artificielle Appliquée</w:t>
            </w:r>
            <w:r>
              <w:rPr>
                <w:i/>
                <w:color w:val="0284C7"/>
                <w:sz w:val="15"/>
              </w:rPr>
              <w:t xml:space="preserve">   —   2025 – 2027  [En cours]</w:t>
            </w:r>
          </w:p>
          <w:p w:rsidR="002C306C" w:rsidRDefault="00A021B6">
            <w:pPr>
              <w:spacing w:after="6"/>
            </w:pPr>
            <w:r>
              <w:rPr>
                <w:b/>
                <w:color w:val="64748B"/>
                <w:sz w:val="15"/>
              </w:rPr>
              <w:t>Université de Ngaoundéré  │  Cameroun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Stats Bayésienne, Data Engineering Neo4j, Vision &amp; Robotiq</w:t>
            </w:r>
            <w:r>
              <w:rPr>
                <w:color w:val="334155"/>
                <w:sz w:val="15"/>
              </w:rPr>
              <w:t>ue, Éthique &amp; Cybersécurité, MLOps Souverains.</w:t>
            </w:r>
          </w:p>
          <w:p w:rsidR="002C306C" w:rsidRDefault="00A021B6">
            <w:pPr>
              <w:spacing w:before="50" w:after="6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2C306C" w:rsidRDefault="00A021B6">
            <w:pPr>
              <w:spacing w:after="6"/>
            </w:pPr>
            <w:r>
              <w:rPr>
                <w:b/>
                <w:color w:val="64748B"/>
                <w:sz w:val="15"/>
              </w:rPr>
              <w:t>ISTDI / IUC Douala  │  Cameroun</w:t>
            </w:r>
          </w:p>
          <w:p w:rsidR="002C306C" w:rsidRDefault="00A021B6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Dimensionnement structures (BAEL 91), métrés &amp; gestion de projets BTP — base de l'IA appliquée à l'estimation.</w:t>
            </w:r>
          </w:p>
          <w:p w:rsidR="002C306C" w:rsidRDefault="00A021B6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2C306C" w:rsidRDefault="00A021B6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C306C" w:rsidRDefault="00A021B6">
            <w:pPr>
              <w:spacing w:after="0" w:line="264" w:lineRule="auto"/>
            </w:pPr>
            <w:r>
              <w:rPr>
                <w:b/>
                <w:color w:val="0A1128"/>
              </w:rPr>
              <w:t xml:space="preserve">◈ Google Africa Applied AI Lab (Accra, 2026) : </w:t>
            </w:r>
            <w:r>
              <w:rPr>
                <w:color w:val="334155"/>
              </w:rPr>
              <w:t>Candidature officielle — plateforme Archi Cam AI (5D BIM + GenAI).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 xml:space="preserve">◈ Google Cloud #AllThingsAgentic Hackathon : </w:t>
            </w:r>
            <w:r>
              <w:rPr>
                <w:color w:val="334155"/>
              </w:rPr>
              <w:t>Dataset Automator v4.0 (Google Antigravity, TabFM, bigframes, WIT, MCT).</w:t>
            </w:r>
          </w:p>
        </w:tc>
      </w:tr>
    </w:tbl>
    <w:p w:rsidR="002C306C" w:rsidRDefault="002C306C">
      <w:pPr>
        <w:spacing w:after="0" w:line="20" w:lineRule="exact"/>
        <w:rPr>
          <w:sz w:val="2"/>
          <w:szCs w:val="2"/>
        </w:rPr>
      </w:pPr>
    </w:p>
    <w:sectPr w:rsidR="002C306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306C"/>
    <w:rsid w:val="00326F90"/>
    <w:rsid w:val="00A021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CF62159-0211-4488-899A-F22B41983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07BEBFF-15A6-4BC1-8874-A9DD01214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664</Words>
  <Characters>3830</Characters>
  <Application>Microsoft Office Word</Application>
  <DocSecurity>0</DocSecurity>
  <Lines>104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2026-09-04T07:58:00Z</cp:lastPrinted>
  <dcterms:created xsi:type="dcterms:W3CDTF">2013-12-23T23:15:00Z</dcterms:created>
  <dcterms:modified xsi:type="dcterms:W3CDTF">2026-09-04T07:58:00Z</dcterms:modified>
  <cp:category/>
</cp:coreProperties>
</file>