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trHeight w:val="16100" w:hRule="atLeast"/>
        </w:trPr>
        <w:tc>
          <w:tcPr>
            <w:tcW w:type="dxa" w:w="3744"/>
            <w:shd w:fill="0F172A"/>
            <w:tcMar>
              <w:top w:w="200" w:type="dxa"/>
              <w:bottom w:w="140" w:type="dxa"/>
              <w:left w:w="320" w:type="dxa"/>
              <w:right w:w="160" w:type="dxa"/>
            </w:tcMar>
          </w:tcPr>
          <w:p/>
          <w:tbl>
            <w:tblPr>
              <w:tblW w:type="auto" w:w="0"/>
              <w:jc w:val="center"/>
              <w:tblLook w:firstColumn="1" w:firstRow="1" w:lastColumn="0" w:lastRow="0" w:noHBand="0" w:noVBand="1" w:val="04A0"/>
            </w:tblPr>
            <w:tblGrid>
              <w:gridCol w:w="3744"/>
            </w:tblGrid>
            <w:tr>
              <w:tc>
                <w:tcPr>
                  <w:tcW w:type="dxa" w:w="1944"/>
                  <w:shd w:fill="1E293B"/>
                  <w:tcMar>
                    <w:top w:w="20" w:type="dxa"/>
                    <w:bottom w:w="20" w:type="dxa"/>
                    <w:left w:w="20" w:type="dxa"/>
                    <w:right w:w="20" w:type="dxa"/>
                  </w:tcMar>
                </w:tcPr>
                <w:p>
                  <w:pPr>
                    <w:spacing w:before="0" w:after="0"/>
                    <w:jc w:val="center"/>
                  </w:pPr>
                  <w:r>
                    <w:drawing>
                      <wp:inline xmlns:a="http://schemas.openxmlformats.org/drawingml/2006/main" xmlns:pic="http://schemas.openxmlformats.org/drawingml/2006/picture">
                        <wp:extent cx="1115568" cy="1115568"/>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15568" cy="1115568"/>
                                </a:xfrm>
                                <a:prstGeom prst="rect"/>
                              </pic:spPr>
                            </pic:pic>
                          </a:graphicData>
                        </a:graphic>
                      </wp:inline>
                    </w:drawing>
                  </w:r>
                </w:p>
              </w:tc>
            </w:tr>
          </w:tbl>
          <w:p/>
          <w:p>
            <w:pPr>
              <w:spacing w:before="90" w:after="24"/>
            </w:pPr>
            <w:r>
              <w:rPr>
                <w:rFonts w:ascii="Segoe UI Semibold" w:hAnsi="Segoe UI Semibold"/>
                <w:b/>
                <w:color w:val="38BDF8"/>
                <w:sz w:val="15"/>
              </w:rPr>
              <w:t>CONTACT &amp; PROFILES</w:t>
            </w:r>
          </w:p>
          <w:p>
            <w:pPr>
              <w:spacing w:before="0" w:after="18" w:line="252" w:lineRule="auto"/>
            </w:pPr>
            <w:r>
              <w:rPr>
                <w:color w:val="F8FAFC"/>
                <w:sz w:val="14"/>
              </w:rPr>
              <w:t>✉  magenel85@gmail.com</w:t>
            </w:r>
          </w:p>
          <w:p>
            <w:pPr>
              <w:spacing w:before="0" w:after="18" w:line="252" w:lineRule="auto"/>
            </w:pPr>
            <w:r>
              <w:rPr>
                <w:color w:val="F8FAFC"/>
                <w:sz w:val="14"/>
              </w:rPr>
              <w:t>✆  +237 695 35 34 02</w:t>
            </w:r>
          </w:p>
          <w:p>
            <w:pPr>
              <w:spacing w:before="0" w:after="18" w:line="252" w:lineRule="auto"/>
            </w:pPr>
            <w:r>
              <w:rPr>
                <w:color w:val="F8FAFC"/>
                <w:sz w:val="14"/>
              </w:rPr>
              <w:t>⌂  Douala / Ngaoundéré, CM</w:t>
            </w:r>
          </w:p>
          <w:p>
            <w:pPr>
              <w:spacing w:before="0" w:after="18" w:line="252" w:lineRule="auto"/>
            </w:pPr>
            <w:r>
              <w:rPr>
                <w:color w:val="F8FAFC"/>
                <w:sz w:val="14"/>
              </w:rPr>
              <w:t>🌐  github.com/gervais-afk</w:t>
            </w:r>
          </w:p>
          <w:p>
            <w:pPr>
              <w:spacing w:before="0" w:after="18" w:line="252" w:lineRule="auto"/>
            </w:pPr>
            <w:r>
              <w:rPr>
                <w:color w:val="F8FAFC"/>
                <w:sz w:val="14"/>
              </w:rPr>
              <w:t>💼  linkedin.com/in/marie-gervais-koa</w:t>
            </w:r>
          </w:p>
          <w:p>
            <w:pPr>
              <w:spacing w:before="0" w:after="18" w:line="252" w:lineRule="auto"/>
            </w:pPr>
            <w:r>
              <w:rPr>
                <w:color w:val="F8FAFC"/>
                <w:sz w:val="14"/>
              </w:rPr>
              <w:t>⚡  devpost.com/magenel85</w:t>
            </w:r>
          </w:p>
          <w:p>
            <w:pPr>
              <w:spacing w:before="0" w:after="18" w:line="252" w:lineRule="auto"/>
            </w:pPr>
            <w:r>
              <w:rPr>
                <w:color w:val="F8FAFC"/>
                <w:sz w:val="14"/>
              </w:rPr>
              <w:t>🏅  Google Developer Program</w:t>
            </w:r>
          </w:p>
          <w:p>
            <w:pPr>
              <w:spacing w:before="90" w:after="24"/>
            </w:pPr>
            <w:r>
              <w:rPr>
                <w:rFonts w:ascii="Segoe UI Semibold" w:hAnsi="Segoe UI Semibold"/>
                <w:b/>
                <w:color w:val="38BDF8"/>
                <w:sz w:val="15"/>
              </w:rPr>
              <w:t>AI &amp; LLM STACK</w:t>
            </w:r>
          </w:p>
          <w:p>
            <w:pPr>
              <w:spacing w:before="0" w:after="18" w:line="252" w:lineRule="auto"/>
            </w:pPr>
            <w:r>
              <w:rPr>
                <w:color w:val="F8FAFC"/>
                <w:sz w:val="14"/>
              </w:rPr>
              <w:t>Google Antigravity IDE ■ ■ ■ ■ ■</w:t>
            </w:r>
          </w:p>
          <w:p>
            <w:pPr>
              <w:spacing w:before="0" w:after="18" w:line="252" w:lineRule="auto"/>
            </w:pPr>
            <w:r>
              <w:rPr>
                <w:color w:val="F8FAFC"/>
                <w:sz w:val="14"/>
              </w:rPr>
              <w:t>Google Gemma 4 (12B) ■ ■ ■ ■ ■</w:t>
            </w:r>
          </w:p>
          <w:p>
            <w:pPr>
              <w:spacing w:before="0" w:after="18" w:line="252" w:lineRule="auto"/>
            </w:pPr>
            <w:r>
              <w:rPr>
                <w:color w:val="F8FAFC"/>
                <w:sz w:val="14"/>
              </w:rPr>
              <w:t>Gemini 2.5 / 1.5 Pro ■ ■ ■ ■ ■</w:t>
            </w:r>
          </w:p>
          <w:p>
            <w:pPr>
              <w:spacing w:before="0" w:after="18" w:line="252" w:lineRule="auto"/>
            </w:pPr>
            <w:r>
              <w:rPr>
                <w:color w:val="F8FAFC"/>
                <w:sz w:val="14"/>
              </w:rPr>
              <w:t>Google TabFM (Tabular)■ ■ ■ ■ ■</w:t>
            </w:r>
          </w:p>
          <w:p>
            <w:pPr>
              <w:spacing w:before="0" w:after="18" w:line="252" w:lineRule="auto"/>
            </w:pPr>
            <w:r>
              <w:rPr>
                <w:color w:val="F8FAFC"/>
                <w:sz w:val="14"/>
              </w:rPr>
              <w:t>LangGraph Multi-Agents■ ■ ■ ■ ■</w:t>
            </w:r>
          </w:p>
          <w:p>
            <w:pPr>
              <w:spacing w:before="0" w:after="18" w:line="252" w:lineRule="auto"/>
            </w:pPr>
            <w:r>
              <w:rPr>
                <w:color w:val="F8FAFC"/>
                <w:sz w:val="14"/>
              </w:rPr>
              <w:t>Firebase Genkit      ■ ■ ■ ■ ■</w:t>
            </w:r>
          </w:p>
          <w:p>
            <w:pPr>
              <w:spacing w:before="0" w:after="18" w:line="252" w:lineRule="auto"/>
            </w:pPr>
            <w:r>
              <w:rPr>
                <w:color w:val="F8FAFC"/>
                <w:sz w:val="14"/>
              </w:rPr>
              <w:t>Neo4j GraphRAG (N10S)■ ■ ■ ■ ■</w:t>
            </w:r>
          </w:p>
          <w:p>
            <w:pPr>
              <w:spacing w:before="90" w:after="24"/>
            </w:pPr>
            <w:r>
              <w:rPr>
                <w:rFonts w:ascii="Segoe UI Semibold" w:hAnsi="Segoe UI Semibold"/>
                <w:b/>
                <w:color w:val="38BDF8"/>
                <w:sz w:val="15"/>
              </w:rPr>
              <w:t>DATA &amp; GRAPHS</w:t>
            </w:r>
          </w:p>
          <w:p>
            <w:pPr>
              <w:spacing w:before="0" w:after="18" w:line="252" w:lineRule="auto"/>
            </w:pPr>
            <w:r>
              <w:rPr>
                <w:color w:val="F8FAFC"/>
                <w:sz w:val="14"/>
              </w:rPr>
              <w:t>Neo4j / Cypher Graph ■ ■ ■ ■ ■</w:t>
            </w:r>
          </w:p>
          <w:p>
            <w:pPr>
              <w:spacing w:before="0" w:after="18" w:line="252" w:lineRule="auto"/>
            </w:pPr>
            <w:r>
              <w:rPr>
                <w:color w:val="F8FAFC"/>
                <w:sz w:val="14"/>
              </w:rPr>
              <w:t>PostgreSQL / pgvector■ ■ ■ ■ ■</w:t>
            </w:r>
          </w:p>
          <w:p>
            <w:pPr>
              <w:spacing w:before="0" w:after="18" w:line="252" w:lineRule="auto"/>
            </w:pPr>
            <w:r>
              <w:rPr>
                <w:color w:val="F8FAFC"/>
                <w:sz w:val="14"/>
              </w:rPr>
              <w:t>Google BigQuery Data ■ ■ ■ ■ □</w:t>
            </w:r>
          </w:p>
          <w:p>
            <w:pPr>
              <w:spacing w:before="0" w:after="18" w:line="252" w:lineRule="auto"/>
            </w:pPr>
            <w:r>
              <w:rPr>
                <w:color w:val="F8FAFC"/>
                <w:sz w:val="14"/>
              </w:rPr>
              <w:t>Supabase Realtime    ■ ■ ■ ■ □</w:t>
            </w:r>
          </w:p>
          <w:p>
            <w:pPr>
              <w:spacing w:before="0" w:after="18" w:line="252" w:lineRule="auto"/>
            </w:pPr>
            <w:r>
              <w:rPr>
                <w:color w:val="F8FAFC"/>
                <w:sz w:val="14"/>
              </w:rPr>
              <w:t>Pandas / NumPy ETL   ■ ■ ■ ■ ■</w:t>
            </w:r>
          </w:p>
          <w:p>
            <w:pPr>
              <w:spacing w:before="90" w:after="24"/>
            </w:pPr>
            <w:r>
              <w:rPr>
                <w:rFonts w:ascii="Segoe UI Semibold" w:hAnsi="Segoe UI Semibold"/>
                <w:b/>
                <w:color w:val="38BDF8"/>
                <w:sz w:val="15"/>
              </w:rPr>
              <w:t>DEV &amp; MLOPS</w:t>
            </w:r>
          </w:p>
          <w:p>
            <w:pPr>
              <w:spacing w:before="0" w:after="18" w:line="252" w:lineRule="auto"/>
            </w:pPr>
            <w:r>
              <w:rPr>
                <w:color w:val="F8FAFC"/>
                <w:sz w:val="14"/>
              </w:rPr>
              <w:t>Python (3.11+ MLOps) ■ ■ ■ ■ ■</w:t>
            </w:r>
          </w:p>
          <w:p>
            <w:pPr>
              <w:spacing w:before="0" w:after="18" w:line="252" w:lineRule="auto"/>
            </w:pPr>
            <w:r>
              <w:rPr>
                <w:color w:val="F8FAFC"/>
                <w:sz w:val="14"/>
              </w:rPr>
              <w:t>FastAPI / Next.js 14 ■ ■ ■ ■ □</w:t>
            </w:r>
          </w:p>
          <w:p>
            <w:pPr>
              <w:spacing w:before="0" w:after="18" w:line="252" w:lineRule="auto"/>
            </w:pPr>
            <w:r>
              <w:rPr>
                <w:color w:val="F8FAFC"/>
                <w:sz w:val="14"/>
              </w:rPr>
              <w:t>MLflow &amp; Data Drift  ■ ■ ■ ■ □</w:t>
            </w:r>
          </w:p>
          <w:p>
            <w:pPr>
              <w:spacing w:before="0" w:after="18" w:line="252" w:lineRule="auto"/>
            </w:pPr>
            <w:r>
              <w:rPr>
                <w:color w:val="F8FAFC"/>
                <w:sz w:val="14"/>
              </w:rPr>
              <w:t>SHAP Sentinel Audit  ■ ■ ■ ■ ■</w:t>
            </w:r>
          </w:p>
          <w:p>
            <w:pPr>
              <w:spacing w:before="0" w:after="18" w:line="252" w:lineRule="auto"/>
            </w:pPr>
            <w:r>
              <w:rPr>
                <w:color w:val="F8FAFC"/>
                <w:sz w:val="14"/>
              </w:rPr>
              <w:t>Docker &amp; Streamlit   ■ ■ ■ ■ ■</w:t>
            </w:r>
          </w:p>
          <w:p>
            <w:pPr>
              <w:spacing w:before="0" w:after="18" w:line="252" w:lineRule="auto"/>
            </w:pPr>
            <w:r>
              <w:rPr>
                <w:color w:val="F8FAFC"/>
                <w:sz w:val="14"/>
              </w:rPr>
              <w:t>IfcOpenShell (5D BIM)■ ■ ■ ■ □</w:t>
            </w:r>
          </w:p>
          <w:p>
            <w:pPr>
              <w:spacing w:before="90" w:after="24"/>
            </w:pPr>
            <w:r>
              <w:rPr>
                <w:rFonts w:ascii="Segoe UI Semibold" w:hAnsi="Segoe UI Semibold"/>
                <w:b/>
                <w:color w:val="38BDF8"/>
                <w:sz w:val="15"/>
              </w:rPr>
              <w:t>SECURITY &amp; AUDIT</w:t>
            </w:r>
          </w:p>
          <w:p>
            <w:pPr>
              <w:spacing w:before="0" w:after="18" w:line="252" w:lineRule="auto"/>
            </w:pPr>
            <w:r>
              <w:rPr>
                <w:color w:val="F8FAFC"/>
                <w:sz w:val="14"/>
              </w:rPr>
              <w:t>◈ Quorum 4-Eyes (KOA+AZIZ)</w:t>
            </w:r>
          </w:p>
          <w:p>
            <w:pPr>
              <w:spacing w:before="0" w:after="18" w:line="252" w:lineRule="auto"/>
            </w:pPr>
            <w:r>
              <w:rPr>
                <w:color w:val="F8FAFC"/>
                <w:sz w:val="14"/>
              </w:rPr>
              <w:t>◈ OKF v0.2 SHA-256 No-LLM</w:t>
            </w:r>
          </w:p>
          <w:p>
            <w:pPr>
              <w:spacing w:before="0" w:after="18" w:line="252" w:lineRule="auto"/>
            </w:pPr>
            <w:r>
              <w:rPr>
                <w:color w:val="F8FAFC"/>
                <w:sz w:val="14"/>
              </w:rPr>
              <w:t>◈ EU AI Act (RSASSA-PSS)</w:t>
            </w:r>
          </w:p>
          <w:p>
            <w:pPr>
              <w:spacing w:before="0" w:after="18" w:line="252" w:lineRule="auto"/>
            </w:pPr>
            <w:r>
              <w:rPr>
                <w:color w:val="F8FAFC"/>
                <w:sz w:val="14"/>
              </w:rPr>
              <w:t>◈ AVSEC (ICAO Annex 17)</w:t>
            </w:r>
          </w:p>
          <w:p>
            <w:pPr>
              <w:spacing w:before="90" w:after="24"/>
            </w:pPr>
            <w:r>
              <w:rPr>
                <w:rFonts w:ascii="Segoe UI Semibold" w:hAnsi="Segoe UI Semibold"/>
                <w:b/>
                <w:color w:val="38BDF8"/>
                <w:sz w:val="15"/>
              </w:rPr>
              <w:t>LANGUAGES</w:t>
            </w:r>
          </w:p>
          <w:p>
            <w:pPr>
              <w:spacing w:before="0" w:after="18" w:line="252" w:lineRule="auto"/>
            </w:pPr>
            <w:r>
              <w:rPr>
                <w:color w:val="F8FAFC"/>
                <w:sz w:val="14"/>
              </w:rPr>
              <w:t>French (Native / Fluent)</w:t>
            </w:r>
          </w:p>
          <w:p>
            <w:pPr>
              <w:spacing w:before="0" w:after="18" w:line="252" w:lineRule="auto"/>
            </w:pPr>
            <w:r>
              <w:rPr>
                <w:color w:val="F8FAFC"/>
                <w:sz w:val="14"/>
              </w:rPr>
              <w:t>English (Technical / Pro)</w:t>
            </w:r>
          </w:p>
          <w:p>
            <w:pPr>
              <w:spacing w:before="90" w:after="24"/>
            </w:pPr>
            <w:r>
              <w:rPr>
                <w:rFonts w:ascii="Segoe UI Semibold" w:hAnsi="Segoe UI Semibold"/>
                <w:b/>
                <w:color w:val="38BDF8"/>
                <w:sz w:val="15"/>
              </w:rPr>
              <w:t>KEY ASSETS</w:t>
            </w:r>
          </w:p>
          <w:p>
            <w:pPr>
              <w:spacing w:before="0" w:after="18" w:line="252" w:lineRule="auto"/>
            </w:pPr>
            <w:r>
              <w:rPr>
                <w:color w:val="F8FAFC"/>
                <w:sz w:val="14"/>
              </w:rPr>
              <w:t>◈ Dual Competence AI &amp; Civil Eng.</w:t>
            </w:r>
          </w:p>
          <w:p>
            <w:pPr>
              <w:spacing w:before="0" w:after="18" w:line="252" w:lineRule="auto"/>
            </w:pPr>
            <w:r>
              <w:rPr>
                <w:color w:val="F8FAFC"/>
                <w:sz w:val="14"/>
              </w:rPr>
              <w:t>◈ Aviation Security &amp; Crisis (CCAA)</w:t>
            </w:r>
          </w:p>
          <w:p>
            <w:pPr>
              <w:spacing w:before="0" w:after="18" w:line="252" w:lineRule="auto"/>
            </w:pPr>
            <w:r>
              <w:rPr>
                <w:color w:val="F8FAFC"/>
                <w:sz w:val="14"/>
              </w:rPr>
              <w:t>◈ Mathematical Rigor &amp; Guardrails</w:t>
            </w:r>
          </w:p>
        </w:tc>
        <w:tc>
          <w:tcPr>
            <w:tcW w:type="dxa" w:w="8165"/>
            <w:shd w:fill="FFFFFF"/>
            <w:tcMar>
              <w:top w:w="200" w:type="dxa"/>
              <w:bottom w:w="140" w:type="dxa"/>
              <w:left w:w="200" w:type="dxa"/>
              <w:right w:w="200" w:type="dxa"/>
            </w:tcMar>
          </w:tcPr>
          <w:p>
            <w:pPr>
              <w:spacing w:before="0" w:after="20"/>
            </w:pPr>
            <w:r>
              <w:rPr>
                <w:rFonts w:ascii="Segoe UI" w:hAnsi="Segoe UI"/>
                <w:b/>
                <w:color w:val="0A1128"/>
                <w:sz w:val="30"/>
              </w:rPr>
              <w:t>KOA MARIE GERVAIS NELLY</w:t>
            </w:r>
          </w:p>
          <w:p>
            <w:pPr>
              <w:spacing w:before="0" w:after="30"/>
            </w:pPr>
            <w:r>
              <w:rPr>
                <w:b/>
                <w:color w:val="0284C7"/>
                <w:sz w:val="16"/>
              </w:rPr>
              <w:t>Lead AI Engineer &amp; Data Architect   │   Founder @ Archi Cam AI</w:t>
            </w:r>
          </w:p>
          <w:p>
            <w:pPr>
              <w:spacing w:before="0" w:after="50"/>
            </w:pPr>
            <w:r>
              <w:rPr>
                <w:color w:val="0284C7"/>
                <w:sz w:val="13"/>
              </w:rPr>
              <w:t>─── ◈ ────────────────────────────────────────────────────────── ◈ ───</w:t>
            </w:r>
          </w:p>
          <w:p>
            <w:pPr>
              <w:spacing w:before="84" w:after="24"/>
            </w:pPr>
            <w:r>
              <w:rPr>
                <w:b/>
                <w:color w:val="0284C7"/>
                <w:sz w:val="15"/>
              </w:rPr>
              <w:t xml:space="preserve">◈  </w:t>
            </w:r>
            <w:r>
              <w:rPr>
                <w:rFonts w:ascii="Segoe UI" w:hAnsi="Segoe UI"/>
                <w:b/>
                <w:color w:val="0A1128"/>
                <w:sz w:val="17"/>
              </w:rPr>
              <w:t>EXECUTIVE SUMMARY</w:t>
            </w:r>
          </w:p>
          <w:p>
            <w:pPr>
              <w:spacing w:before="0" w:after="50" w:line="252" w:lineRule="auto"/>
            </w:pPr>
            <w:r>
              <w:rPr>
                <w:color w:val="334155"/>
                <w:sz w:val="14"/>
              </w:rPr>
              <w:t>Lead AI Engineer &amp; Data Architect (Google Developer Program Member), leveraging Google Antigravity to design and orchestrate neuro-symbolic autonomous multi-agent systems, Neo4j GraphRAG, and sovereign production MLOps. Specialized in deterministic architectures and verifiable AI trust. Founder of Archi Cam AI (official applicant for Google Africa Applied AI Lab), bridging civil engineering methodology, math rigor, and product vision.</w:t>
            </w:r>
          </w:p>
          <w:p>
            <w:pPr>
              <w:spacing w:before="84" w:after="24"/>
            </w:pPr>
            <w:r>
              <w:rPr>
                <w:b/>
                <w:color w:val="0284C7"/>
                <w:sz w:val="15"/>
              </w:rPr>
              <w:t xml:space="preserve">◈  </w:t>
            </w:r>
            <w:r>
              <w:rPr>
                <w:rFonts w:ascii="Segoe UI" w:hAnsi="Segoe UI"/>
                <w:b/>
                <w:color w:val="0A1128"/>
                <w:sz w:val="17"/>
              </w:rPr>
              <w:t>FLAGSHIP AI PROJECTS</w:t>
            </w:r>
          </w:p>
          <w:p>
            <w:pPr>
              <w:spacing w:before="40" w:after="8"/>
            </w:pPr>
            <w:r>
              <w:rPr>
                <w:b/>
                <w:color w:val="0A1128"/>
                <w:sz w:val="16"/>
              </w:rPr>
              <w:t xml:space="preserve">Archi Cam AI  </w:t>
            </w:r>
            <w:r>
              <w:rPr>
                <w:i/>
                <w:color w:val="0284C7"/>
                <w:sz w:val="14"/>
              </w:rPr>
              <w:t>–  Agentic AI &amp; 5D BIM SaaS</w:t>
            </w:r>
          </w:p>
          <w:p>
            <w:pPr>
              <w:spacing w:before="0" w:after="10" w:line="250" w:lineRule="auto"/>
              <w:ind w:left="115"/>
            </w:pPr>
            <w:r>
              <w:rPr>
                <w:b/>
                <w:color w:val="0284C7"/>
                <w:sz w:val="14"/>
              </w:rPr>
              <w:t xml:space="preserve">▸  </w:t>
            </w:r>
            <w:r>
              <w:rPr>
                <w:color w:val="334155"/>
                <w:sz w:val="14"/>
              </w:rPr>
              <w:t>Official Applicant Google Africa Applied AI Lab. Built with Google Antigravity (Gemma 4 12B, Gemini, BAEL 91).</w:t>
            </w:r>
          </w:p>
          <w:p>
            <w:pPr>
              <w:spacing w:before="0" w:after="10" w:line="250" w:lineRule="auto"/>
              <w:ind w:left="115"/>
            </w:pPr>
            <w:r>
              <w:rPr>
                <w:b/>
                <w:color w:val="0284C7"/>
                <w:sz w:val="14"/>
              </w:rPr>
              <w:t xml:space="preserve">▸  </w:t>
            </w:r>
            <w:r>
              <w:rPr>
                <w:color w:val="334155"/>
                <w:sz w:val="14"/>
              </w:rPr>
              <w:t>Automated Excel BOQs in &lt;45s (-99.2% time, MLflow R²=0.9872) and 3D renders via Imagen 3 + ControlNet.</w:t>
            </w:r>
          </w:p>
          <w:p>
            <w:pPr>
              <w:spacing w:before="40" w:after="8"/>
            </w:pPr>
            <w:r>
              <w:rPr>
                <w:b/>
                <w:color w:val="0A1128"/>
                <w:sz w:val="16"/>
              </w:rPr>
              <w:t xml:space="preserve">K1-MATHINFO (v3.0.0)  </w:t>
            </w:r>
            <w:r>
              <w:rPr>
                <w:i/>
                <w:color w:val="0284C7"/>
                <w:sz w:val="14"/>
              </w:rPr>
              <w:t>–  Sovereign Multi-Agent AI &amp; OKF Certification</w:t>
            </w:r>
          </w:p>
          <w:p>
            <w:pPr>
              <w:spacing w:before="0" w:after="10" w:line="250" w:lineRule="auto"/>
              <w:ind w:left="115"/>
            </w:pPr>
            <w:r>
              <w:rPr>
                <w:b/>
                <w:color w:val="0284C7"/>
                <w:sz w:val="14"/>
              </w:rPr>
              <w:t xml:space="preserve">▸  </w:t>
            </w:r>
            <w:r>
              <w:rPr>
                <w:color w:val="334155"/>
                <w:sz w:val="14"/>
              </w:rPr>
              <w:t>Sovereign DMI system (Univ. of Ngaoundéré) engineered with Google Antigravity: 470 theses, 19 M1 projects, 1,366 nodes.</w:t>
            </w:r>
          </w:p>
          <w:p>
            <w:pPr>
              <w:spacing w:before="0" w:after="10" w:line="250" w:lineRule="auto"/>
              <w:ind w:left="115"/>
            </w:pPr>
            <w:r>
              <w:rPr>
                <w:b/>
                <w:color w:val="0284C7"/>
                <w:sz w:val="14"/>
              </w:rPr>
              <w:t xml:space="preserve">▸  </w:t>
            </w:r>
            <w:r>
              <w:rPr>
                <w:color w:val="334155"/>
                <w:sz w:val="14"/>
              </w:rPr>
              <w:t>6-agent LangGraph network, hybrid retrieval (RRF k=60 + Cross-Encoder), SHA-256 No-LLM cert, 77/77 tests (100%).</w:t>
            </w:r>
          </w:p>
          <w:p>
            <w:pPr>
              <w:spacing w:before="40" w:after="8"/>
            </w:pPr>
            <w:r>
              <w:rPr>
                <w:b/>
                <w:color w:val="0A1128"/>
                <w:sz w:val="16"/>
              </w:rPr>
              <w:t xml:space="preserve">Sovereign.BI Agentic  </w:t>
            </w:r>
            <w:r>
              <w:rPr>
                <w:i/>
                <w:color w:val="0284C7"/>
                <w:sz w:val="14"/>
              </w:rPr>
              <w:t>–  Enterprise Security &amp; Agentic BI</w:t>
            </w:r>
          </w:p>
          <w:p>
            <w:pPr>
              <w:spacing w:before="0" w:after="10" w:line="250" w:lineRule="auto"/>
              <w:ind w:left="115"/>
            </w:pPr>
            <w:r>
              <w:rPr>
                <w:b/>
                <w:color w:val="0284C7"/>
                <w:sz w:val="14"/>
              </w:rPr>
              <w:t xml:space="preserve">▸  </w:t>
            </w:r>
            <w:r>
              <w:rPr>
                <w:color w:val="334155"/>
                <w:sz w:val="14"/>
              </w:rPr>
              <w:t>Sovereign natural language query engine for enterprise SQL/Graph databases (PostgreSQL pgvector, Neo4j, &lt;5s latency).</w:t>
            </w:r>
          </w:p>
          <w:p>
            <w:pPr>
              <w:spacing w:before="0" w:after="10" w:line="250" w:lineRule="auto"/>
              <w:ind w:left="115"/>
            </w:pPr>
            <w:r>
              <w:rPr>
                <w:b/>
                <w:color w:val="0284C7"/>
                <w:sz w:val="14"/>
              </w:rPr>
              <w:t xml:space="preserve">▸  </w:t>
            </w:r>
            <w:r>
              <w:rPr>
                <w:color w:val="334155"/>
                <w:sz w:val="14"/>
              </w:rPr>
              <w:t>Enforces dynamic ABAC security guardrails and explainability certified via SHAP Sentinel game theory auditor.</w:t>
            </w:r>
          </w:p>
          <w:p>
            <w:pPr>
              <w:spacing w:before="40" w:after="8"/>
            </w:pPr>
            <w:r>
              <w:rPr>
                <w:b/>
                <w:color w:val="0A1128"/>
                <w:sz w:val="16"/>
              </w:rPr>
              <w:t xml:space="preserve">Dataset Automator &amp; VigieSahel  </w:t>
            </w:r>
            <w:r>
              <w:rPr>
                <w:i/>
                <w:color w:val="0284C7"/>
                <w:sz w:val="14"/>
              </w:rPr>
              <w:t>–  MLOps Pipeline &amp; Climate AI Impact</w:t>
            </w:r>
          </w:p>
          <w:p>
            <w:pPr>
              <w:spacing w:before="0" w:after="10" w:line="250" w:lineRule="auto"/>
              <w:ind w:left="115"/>
            </w:pPr>
            <w:r>
              <w:rPr>
                <w:b/>
                <w:color w:val="0284C7"/>
                <w:sz w:val="14"/>
              </w:rPr>
              <w:t xml:space="preserve">▸  </w:t>
            </w:r>
            <w:r>
              <w:rPr>
                <w:color w:val="334155"/>
                <w:sz w:val="14"/>
              </w:rPr>
              <w:t>Dataset Automator: Built with Google Antigravity (Google Cloud Hackathon) with TabFM, BigQuery DataFrames, and EU AI Act.</w:t>
            </w:r>
          </w:p>
          <w:p>
            <w:pPr>
              <w:spacing w:before="0" w:after="10" w:line="250" w:lineRule="auto"/>
              <w:ind w:left="115"/>
            </w:pPr>
            <w:r>
              <w:rPr>
                <w:b/>
                <w:color w:val="0284C7"/>
                <w:sz w:val="14"/>
              </w:rPr>
              <w:t xml:space="preserve">▸  </w:t>
            </w:r>
            <w:r>
              <w:rPr>
                <w:color w:val="334155"/>
                <w:sz w:val="14"/>
              </w:rPr>
              <w:t>VigieSahel: Predictive ML for epidemic forecasting &amp; crop sowing optimization (-35% loss, XGBoost R²&gt;94%, Supabase).</w:t>
            </w:r>
          </w:p>
          <w:p>
            <w:pPr>
              <w:spacing w:before="84" w:after="24"/>
            </w:pPr>
            <w:r>
              <w:rPr>
                <w:b/>
                <w:color w:val="0284C7"/>
                <w:sz w:val="15"/>
              </w:rPr>
              <w:t xml:space="preserve">◈  </w:t>
            </w:r>
            <w:r>
              <w:rPr>
                <w:rFonts w:ascii="Segoe UI" w:hAnsi="Segoe UI"/>
                <w:b/>
                <w:color w:val="0A1128"/>
                <w:sz w:val="17"/>
              </w:rPr>
              <w:t>PROFESSIONAL EXPERIENCE</w:t>
            </w:r>
          </w:p>
          <w:p>
            <w:pPr>
              <w:spacing w:before="40" w:after="8"/>
            </w:pPr>
            <w:r>
              <w:rPr>
                <w:b/>
                <w:color w:val="0A1128"/>
                <w:sz w:val="16"/>
              </w:rPr>
              <w:t xml:space="preserve">AI Lead &amp; Data Science Consultant  </w:t>
            </w:r>
            <w:r>
              <w:rPr>
                <w:i/>
                <w:color w:val="0284C7"/>
                <w:sz w:val="14"/>
              </w:rPr>
              <w:t>(2025 – Present)</w:t>
            </w:r>
          </w:p>
          <w:p>
            <w:pPr>
              <w:spacing w:before="0" w:after="10"/>
            </w:pPr>
            <w:r>
              <w:rPr>
                <w:b/>
                <w:color w:val="64748B"/>
                <w:sz w:val="14"/>
              </w:rPr>
              <w:t>Independent Projects &amp; Enterprises  │  Douala, CM</w:t>
            </w:r>
          </w:p>
          <w:p>
            <w:pPr>
              <w:spacing w:before="0" w:after="10" w:line="250" w:lineRule="auto"/>
              <w:ind w:left="115"/>
            </w:pPr>
            <w:r>
              <w:rPr>
                <w:b/>
                <w:color w:val="0284C7"/>
                <w:sz w:val="14"/>
              </w:rPr>
              <w:t xml:space="preserve">▸  </w:t>
            </w:r>
            <w:r>
              <w:rPr>
                <w:color w:val="334155"/>
                <w:sz w:val="14"/>
              </w:rPr>
              <w:t>Guiding enterprises in deploying sovereign private AI agents, Neo4j GraphRAG pipelines, and PostgreSQL databases.</w:t>
            </w:r>
          </w:p>
          <w:p>
            <w:pPr>
              <w:spacing w:before="0" w:after="10" w:line="250" w:lineRule="auto"/>
              <w:ind w:left="115"/>
            </w:pPr>
            <w:r>
              <w:rPr>
                <w:b/>
                <w:color w:val="0284C7"/>
                <w:sz w:val="14"/>
              </w:rPr>
              <w:t xml:space="preserve">▸  </w:t>
            </w:r>
            <w:r>
              <w:rPr>
                <w:color w:val="334155"/>
                <w:sz w:val="14"/>
              </w:rPr>
              <w:t>High-dimensional exploratory data analysis, predictive modeling, and executive interactive decision dashboards.</w:t>
            </w:r>
          </w:p>
          <w:p>
            <w:pPr>
              <w:spacing w:before="40" w:after="8"/>
            </w:pPr>
            <w:r>
              <w:rPr>
                <w:b/>
                <w:color w:val="0A1128"/>
                <w:sz w:val="16"/>
              </w:rPr>
              <w:t xml:space="preserve">Aviation Security Officer (AVSEC)  </w:t>
            </w:r>
            <w:r>
              <w:rPr>
                <w:i/>
                <w:color w:val="0284C7"/>
                <w:sz w:val="14"/>
              </w:rPr>
              <w:t>(2018 – Present)</w:t>
            </w:r>
          </w:p>
          <w:p>
            <w:pPr>
              <w:spacing w:before="0" w:after="10"/>
            </w:pPr>
            <w:r>
              <w:rPr>
                <w:b/>
                <w:color w:val="64748B"/>
                <w:sz w:val="14"/>
              </w:rPr>
              <w:t>CCAA (Cameroon Civil Aviation Authority)</w:t>
            </w:r>
          </w:p>
          <w:p>
            <w:pPr>
              <w:spacing w:before="0" w:after="10" w:line="250" w:lineRule="auto"/>
              <w:ind w:left="115"/>
            </w:pPr>
            <w:r>
              <w:rPr>
                <w:b/>
                <w:color w:val="0284C7"/>
                <w:sz w:val="14"/>
              </w:rPr>
              <w:t xml:space="preserve">▸  </w:t>
            </w:r>
            <w:r>
              <w:rPr>
                <w:color w:val="334155"/>
                <w:sz w:val="14"/>
              </w:rPr>
              <w:t>Operational threat assessment, secure access control, and regulatory compliance audits (ICAO Annex 17).</w:t>
            </w:r>
          </w:p>
          <w:p>
            <w:pPr>
              <w:spacing w:before="0" w:after="10" w:line="250" w:lineRule="auto"/>
              <w:ind w:left="115"/>
            </w:pPr>
            <w:r>
              <w:rPr>
                <w:b/>
                <w:color w:val="0284C7"/>
                <w:sz w:val="14"/>
              </w:rPr>
              <w:t xml:space="preserve">▸  </w:t>
            </w:r>
            <w:r>
              <w:rPr>
                <w:color w:val="334155"/>
                <w:sz w:val="14"/>
              </w:rPr>
              <w:t>Critical aviation security reporting and field emergency operational crisis response coordination.</w:t>
            </w:r>
          </w:p>
          <w:p>
            <w:pPr>
              <w:spacing w:before="84" w:after="24"/>
            </w:pPr>
            <w:r>
              <w:rPr>
                <w:b/>
                <w:color w:val="0284C7"/>
                <w:sz w:val="15"/>
              </w:rPr>
              <w:t xml:space="preserve">◈  </w:t>
            </w:r>
            <w:r>
              <w:rPr>
                <w:rFonts w:ascii="Segoe UI" w:hAnsi="Segoe UI"/>
                <w:b/>
                <w:color w:val="0A1128"/>
                <w:sz w:val="17"/>
              </w:rPr>
              <w:t>EDUCATION &amp; CERTIFICATIONS</w:t>
            </w:r>
          </w:p>
          <w:p>
            <w:pPr>
              <w:spacing w:before="40" w:after="8"/>
            </w:pPr>
            <w:r>
              <w:rPr>
                <w:b/>
                <w:color w:val="0A1128"/>
                <w:sz w:val="16"/>
              </w:rPr>
              <w:t xml:space="preserve">Master of Science in Applied Artificial Intelligence  </w:t>
            </w:r>
            <w:r>
              <w:rPr>
                <w:i/>
                <w:color w:val="0284C7"/>
                <w:sz w:val="14"/>
              </w:rPr>
              <w:t>(2025 – 2027)</w:t>
            </w:r>
            <w:r>
              <w:rPr>
                <w:b/>
                <w:color w:val="0284C7"/>
                <w:sz w:val="13"/>
              </w:rPr>
              <w:t xml:space="preserve">  [In Progress]</w:t>
            </w:r>
          </w:p>
          <w:p>
            <w:pPr>
              <w:spacing w:before="0" w:after="8"/>
            </w:pPr>
            <w:r>
              <w:rPr>
                <w:b/>
                <w:color w:val="64748B"/>
                <w:sz w:val="14"/>
              </w:rPr>
              <w:t>University of Ngaoundéré</w:t>
            </w:r>
          </w:p>
          <w:p>
            <w:pPr>
              <w:spacing w:before="0" w:after="12" w:line="250" w:lineRule="auto"/>
            </w:pPr>
            <w:r>
              <w:rPr>
                <w:color w:val="334155"/>
                <w:sz w:val="13"/>
              </w:rPr>
              <w:t>Excellence Curriculum (5 Blocs): Machine Learning &amp; Bayesian Statistics, Data Engineering &amp; Neo4j Knowledge Graphs, Computer Vision &amp; Robotics/HCI, Cybersecurity &amp; Blockchain, Production Sovereign MLOps Deployment.</w:t>
            </w:r>
          </w:p>
          <w:p>
            <w:pPr>
              <w:spacing w:before="40" w:after="8"/>
            </w:pPr>
            <w:r>
              <w:rPr>
                <w:b/>
                <w:color w:val="0A1128"/>
                <w:sz w:val="16"/>
              </w:rPr>
              <w:t xml:space="preserve">Bachelor of Science in Civil Engineering (Building Option)  </w:t>
            </w:r>
            <w:r>
              <w:rPr>
                <w:i/>
                <w:color w:val="0284C7"/>
                <w:sz w:val="14"/>
              </w:rPr>
              <w:t>(2015 – 2016)</w:t>
            </w:r>
          </w:p>
          <w:p>
            <w:pPr>
              <w:spacing w:before="0" w:after="8"/>
            </w:pPr>
            <w:r>
              <w:rPr>
                <w:b/>
                <w:color w:val="64748B"/>
                <w:sz w:val="14"/>
              </w:rPr>
              <w:t>ISTDI / IUC Douala</w:t>
            </w:r>
          </w:p>
          <w:p>
            <w:pPr>
              <w:spacing w:before="0" w:after="12" w:line="250" w:lineRule="auto"/>
            </w:pPr>
            <w:r>
              <w:rPr>
                <w:color w:val="334155"/>
                <w:sz w:val="13"/>
              </w:rPr>
              <w:t>Structural calculations (BAEL 91), quantity surveying, and construction project management.</w:t>
            </w:r>
          </w:p>
          <w:p>
            <w:pPr>
              <w:spacing w:before="84" w:after="24"/>
            </w:pPr>
            <w:r>
              <w:rPr>
                <w:b/>
                <w:color w:val="0284C7"/>
                <w:sz w:val="15"/>
              </w:rPr>
              <w:t xml:space="preserve">◈  </w:t>
            </w:r>
            <w:r>
              <w:rPr>
                <w:rFonts w:ascii="Segoe UI" w:hAnsi="Segoe UI"/>
                <w:b/>
                <w:color w:val="0A1128"/>
                <w:sz w:val="17"/>
              </w:rPr>
              <w:t>HONORS &amp; APPLIED AI RECOGNITIONS</w:t>
            </w:r>
          </w:p>
          <w:p>
            <w:pPr>
              <w:spacing w:before="0" w:after="10" w:line="250" w:lineRule="auto"/>
            </w:pPr>
            <w:r>
              <w:rPr>
                <w:b/>
                <w:color w:val="0A1128"/>
                <w:sz w:val="14"/>
              </w:rPr>
              <w:t xml:space="preserve">◈ Google Africa Applied AI Lab (Accra, 2026): </w:t>
            </w:r>
            <w:r>
              <w:rPr>
                <w:color w:val="334155"/>
                <w:sz w:val="14"/>
              </w:rPr>
              <w:t>Official candidacy supported by Archi Cam AI platform.</w:t>
              <w:br/>
            </w:r>
            <w:r>
              <w:rPr>
                <w:b/>
                <w:color w:val="0A1128"/>
                <w:sz w:val="14"/>
              </w:rPr>
              <w:t xml:space="preserve">◈ Google Cloud #AllThingsAgentic Hackathon: </w:t>
            </w:r>
            <w:r>
              <w:rPr>
                <w:color w:val="334155"/>
                <w:sz w:val="14"/>
              </w:rPr>
              <w:t>Dataset Automator v4.0 built with Google Antigravity (TabFM, WIT, bigframes, MCT).</w:t>
            </w:r>
          </w:p>
        </w:tc>
      </w:tr>
    </w:tbl>
    <w:sectPr w:rsidR="00FC693F" w:rsidRPr="0006063C"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