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A62A36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A62A36" w:rsidRDefault="005A4B10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62A36" w:rsidRDefault="005A4B10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A62A36" w:rsidRDefault="005A4B10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Founder  ·  Archi Cam AI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</w:t>
            </w:r>
            <w:r>
              <w:rPr>
                <w:color w:val="F8FAFC"/>
                <w:sz w:val="15"/>
              </w:rPr>
              <w:t>Google Dev &amp; AICC Member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FastMCP &amp; Genkit        ■</w:t>
            </w:r>
            <w:r>
              <w:rPr>
                <w:color w:val="F8FAFC"/>
                <w:sz w:val="15"/>
              </w:rPr>
              <w:t xml:space="preserve">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DATA &amp; GRAPHS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</w:t>
            </w:r>
            <w:r>
              <w:rPr>
                <w:color w:val="0284C7"/>
                <w:sz w:val="10"/>
              </w:rPr>
              <w:t>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Python 3.11+ / MLOps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0284C7"/>
                <w:sz w:val="10"/>
              </w:rPr>
              <w:t>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CCAA Excellence Award (2023)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Officer (ICAO Annex 17)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Anti-Hallucination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English  —  Functional basics </w:t>
            </w:r>
            <w:r>
              <w:rPr>
                <w:color w:val="F8FAFC"/>
                <w:sz w:val="15"/>
              </w:rPr>
              <w:t>(tools &amp; doc.)</w:t>
            </w:r>
          </w:p>
          <w:p w:rsidR="00A62A36" w:rsidRDefault="005A4B10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A62A36" w:rsidRDefault="005A4B10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Dual Competence: AI &amp; Civil Eng.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A62A36" w:rsidRDefault="005A4B10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A62A36" w:rsidRDefault="005A4B10">
            <w:pPr>
              <w:spacing w:after="20"/>
            </w:pPr>
            <w:r>
              <w:rPr>
                <w:b/>
                <w:color w:val="0A1128"/>
                <w:sz w:val="42"/>
              </w:rPr>
              <w:t>KOA MARIE GERVAIS NELLY</w:t>
            </w:r>
          </w:p>
          <w:p w:rsidR="00A62A36" w:rsidRDefault="005A4B10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A62A36" w:rsidRDefault="005A4B10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</w:t>
            </w: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SUMMARY</w:t>
            </w:r>
          </w:p>
          <w:p w:rsidR="00A62A36" w:rsidRDefault="005A4B10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after="30" w:line="264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</w:t>
            </w:r>
            <w:r>
              <w:rPr>
                <w:color w:val="334155"/>
              </w:rPr>
              <w:t>bolic multi-agent architectures, Neo4j GraphRAG, and sovereign MLOps pipelines. Expert in AI ethics: SHAP transparency, EU AI Act compliance, and deterministic zero-hallucination models. Founder &amp; Architect of Archi Cam AI (Agentic AI SaaS &amp; 5D BIM), bridg</w:t>
            </w:r>
            <w:r>
              <w:rPr>
                <w:color w:val="334155"/>
              </w:rPr>
              <w:t>ing civil engineering methodology, mathematical rigor, and product vision.</w:t>
            </w:r>
          </w:p>
          <w:p w:rsidR="00A62A36" w:rsidRDefault="005A4B10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A62A36" w:rsidRDefault="005A4B10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Sovereign 5D BIM platform (YOLO, Shapely, </w:t>
            </w:r>
            <w:r>
              <w:rPr>
                <w:color w:val="334155"/>
              </w:rPr>
              <w:t>IfcOpenShell, BAEL 91, Gemma 4, Gemini 2.5).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R²=0.9872), 3D teasers via Veo 3 / Fal.ai.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5D IFC models: automated costing &amp; scheduling without hallucination risk (POS / ONAC standards).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</w:t>
            </w:r>
            <w:r>
              <w:rPr>
                <w:b/>
                <w:color w:val="0A1128"/>
                <w:sz w:val="18"/>
              </w:rPr>
              <w:t>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theses, 19 M1 projects, 1,366 Neo4j nodes.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(critic anti-hallucination, Cypher optimize</w:t>
            </w:r>
            <w:r>
              <w:rPr>
                <w:color w:val="334155"/>
              </w:rPr>
              <w:t>r), RRF k=60, SHA-256 No-LLM (100%).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Apache AGE, latency &lt;5s).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FastMCP Gateway, Zod schema guardrails, ABAC access control, CrewAI, a</w:t>
            </w:r>
            <w:r>
              <w:rPr>
                <w:color w:val="334155"/>
              </w:rPr>
              <w:t>nd SHAP Sentinel.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TabFM, PAIR WIT, bigframes, 55-cell CRISP-ML(Q) and EU AI Act.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VigieSahel: –35% crop loss, +14d epidemic forecast (XGBoost R²&gt;94%, Supabase, </w:t>
            </w:r>
            <w:r>
              <w:rPr>
                <w:color w:val="334155"/>
              </w:rPr>
              <w:t>MLflow).</w:t>
            </w:r>
          </w:p>
          <w:p w:rsidR="00A62A36" w:rsidRDefault="005A4B10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A62A36" w:rsidRDefault="005A4B10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March 2026 – Present</w:t>
            </w:r>
          </w:p>
          <w:p w:rsidR="00A62A36" w:rsidRDefault="005A4B10">
            <w:pPr>
              <w:spacing w:after="4"/>
            </w:pPr>
            <w:r>
              <w:rPr>
                <w:b/>
                <w:color w:val="64748B"/>
              </w:rPr>
              <w:t>Independent Projects &amp; Enterprises  │  Douala, CM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 systems: GraphRAG Neo4</w:t>
            </w:r>
            <w:r>
              <w:rPr>
                <w:color w:val="334155"/>
              </w:rPr>
              <w:t>j pipelines, high-dimensional EDA, multi-source RAG architectures.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Executive decision reporting, automated KPI dashboards, and SHAP explainability audits for African SMEs.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A62A36" w:rsidRDefault="005A4B10">
            <w:pPr>
              <w:spacing w:after="4"/>
            </w:pPr>
            <w:r>
              <w:rPr>
                <w:b/>
                <w:color w:val="64748B"/>
              </w:rPr>
              <w:t xml:space="preserve">CCAA — Cameroon Civil </w:t>
            </w:r>
            <w:r>
              <w:rPr>
                <w:b/>
                <w:color w:val="64748B"/>
              </w:rPr>
              <w:t>Aviation Authority  │  Douala, CM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and regulatory compliance audits (ICAO Annex 17).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Operational crisis management: emergency team coordination, anti-intrusion protocols.</w:t>
            </w:r>
          </w:p>
          <w:p w:rsidR="00A62A36" w:rsidRDefault="005A4B10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A62A36" w:rsidRDefault="005A4B10">
            <w:pPr>
              <w:spacing w:after="28"/>
            </w:pPr>
            <w:r>
              <w:rPr>
                <w:color w:val="0284C7"/>
                <w:sz w:val="10"/>
              </w:rPr>
              <w:t>━━━━━━━━</w:t>
            </w:r>
            <w:r>
              <w:rPr>
                <w:color w:val="0284C7"/>
                <w:sz w:val="10"/>
              </w:rPr>
              <w:t>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Dec. 2025 – 2027  [In Progress]</w:t>
            </w:r>
          </w:p>
          <w:p w:rsidR="00A62A36" w:rsidRDefault="005A4B10">
            <w:pPr>
              <w:spacing w:after="4"/>
            </w:pPr>
            <w:r>
              <w:rPr>
                <w:b/>
                <w:color w:val="64748B"/>
              </w:rPr>
              <w:t>University of Ngaoundéré  │  Cameroon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ML &amp; Bayesian Statistics, Data Engineering &amp; Neo4j, Computer Vision &amp; Robotics, </w:t>
            </w:r>
            <w:r>
              <w:rPr>
                <w:color w:val="334155"/>
              </w:rPr>
              <w:t>Ethics &amp; Cybersecurity, Production MLOps.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Research project: K1-MATHINFO v3 sovereign system — multi-source agent certified OKF v0.2 (SHA-256 No-LLM).</w:t>
            </w:r>
          </w:p>
          <w:p w:rsidR="00A62A36" w:rsidRDefault="005A4B10">
            <w:pPr>
              <w:spacing w:before="44" w:after="4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A62A36" w:rsidRDefault="005A4B10">
            <w:pPr>
              <w:spacing w:after="4"/>
            </w:pPr>
            <w:r>
              <w:rPr>
                <w:b/>
                <w:color w:val="64748B"/>
              </w:rPr>
              <w:t>ISTDI / IUC Douala  │  Cameroon</w:t>
            </w:r>
          </w:p>
          <w:p w:rsidR="00A62A36" w:rsidRDefault="005A4B10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</w:t>
            </w:r>
            <w:r>
              <w:rPr>
                <w:color w:val="334155"/>
              </w:rPr>
              <w:t>tural calculations (BAEL 91), quantity surveying, construction project management — AI-applied estimation base.</w:t>
            </w:r>
          </w:p>
          <w:p w:rsidR="00A62A36" w:rsidRDefault="005A4B10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DISTINCTIONS</w:t>
            </w:r>
          </w:p>
          <w:p w:rsidR="00A62A36" w:rsidRDefault="005A4B10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A62A36" w:rsidRDefault="005A4B10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 xml:space="preserve">CCAA Attestation of Excellence &amp; Integrity </w:t>
            </w:r>
            <w:r>
              <w:rPr>
                <w:b/>
                <w:color w:val="0A1128"/>
              </w:rPr>
              <w:t>(2023)</w:t>
            </w:r>
            <w:r>
              <w:rPr>
                <w:color w:val="334155"/>
              </w:rPr>
              <w:t xml:space="preserve">  —  Awarded by the Director General for outstanding operational performance &amp; ethics.</w:t>
            </w:r>
          </w:p>
          <w:p w:rsidR="00A62A36" w:rsidRDefault="005A4B10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A62A36" w:rsidRDefault="005A4B10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 xml:space="preserve">Google Developer Program · AICC </w:t>
            </w:r>
            <w:r>
              <w:rPr>
                <w:b/>
                <w:color w:val="0A1128"/>
              </w:rPr>
              <w:t>Accra</w:t>
            </w:r>
            <w:r>
              <w:rPr>
                <w:color w:val="334155"/>
              </w:rPr>
              <w:t xml:space="preserve">  —  Active member · Accra AI Community Centre &amp; Google for Startups Accelerator Network.</w:t>
            </w:r>
          </w:p>
        </w:tc>
      </w:tr>
    </w:tbl>
    <w:p w:rsidR="00A62A36" w:rsidRDefault="00A62A36">
      <w:pPr>
        <w:spacing w:after="0" w:line="20" w:lineRule="exact"/>
        <w:rPr>
          <w:sz w:val="2"/>
          <w:szCs w:val="2"/>
        </w:rPr>
      </w:pPr>
    </w:p>
    <w:sectPr w:rsidR="00A62A36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4B10"/>
    <w:rsid w:val="00A62A3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C8913CB-8C55-4180-8EE8-A5C2054FE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F54315E-165E-444C-9BF5-3F53A43EF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731</Words>
  <Characters>4286</Characters>
  <Application>Microsoft Office Word</Application>
  <DocSecurity>0</DocSecurity>
  <Lines>111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5092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2026-09-07T17:34:00Z</cp:lastPrinted>
  <dcterms:created xsi:type="dcterms:W3CDTF">2013-12-23T23:15:00Z</dcterms:created>
  <dcterms:modified xsi:type="dcterms:W3CDTF">2026-09-07T17:34:00Z</dcterms:modified>
  <cp:category/>
</cp:coreProperties>
</file>