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Ind w:w="0" w:type="dxa"/>
        <w:tblBorders>
          <w:top w:val="none"/>
          <w:left w:val="none"/>
          <w:bottom w:val="none"/>
          <w:right w:val="none"/>
          <w:insideH w:val="none"/>
          <w:insideV w:val="none"/>
        </w:tblBorders>
      </w:tblPr>
      <w:tblGrid>
        <w:gridCol w:w="4514"/>
        <w:gridCol w:w="4514"/>
      </w:tblGrid>
      <w:tr>
        <w:trPr>
          <w:cantSplit/>
          <w:trHeight w:val="16550" w:hRule="atLeast"/>
        </w:trPr>
        <w:tc>
          <w:tcPr>
            <w:tcW w:type="dxa" w:w="3773"/>
            <w:shd w:fill="0F172A"/>
            <w:tcMar>
              <w:top w:w="140" w:type="dxa"/>
              <w:left w:w="400" w:type="dxa"/>
              <w:bottom w:w="0" w:type="dxa"/>
              <w:right w:w="160" w:type="dxa"/>
            </w:tcMar>
          </w:tcPr>
          <w:p>
            <w:pPr>
              <w:spacing w:before="0" w:after="0"/>
              <w:jc w:val="center"/>
            </w:pPr>
            <w:r>
              <w:drawing>
                <wp:inline xmlns:a="http://schemas.openxmlformats.org/drawingml/2006/main" xmlns:pic="http://schemas.openxmlformats.org/drawingml/2006/picture">
                  <wp:extent cx="1353312" cy="1353312"/>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353312" cy="1353312"/>
                          </a:xfrm>
                          <a:prstGeom prst="rect"/>
                        </pic:spPr>
                      </pic:pic>
                    </a:graphicData>
                  </a:graphic>
                </wp:inline>
              </w:drawing>
            </w:r>
          </w:p>
          <w:p>
            <w:pPr>
              <w:spacing w:before="60" w:after="30"/>
              <w:jc w:val="center"/>
            </w:pPr>
            <w:r>
              <w:rPr>
                <w:rFonts w:ascii="Segoe UI" w:hAnsi="Segoe UI"/>
                <w:b/>
                <w:color w:val="38BDF8"/>
                <w:sz w:val="14"/>
              </w:rPr>
              <w:t>Fondateur  ·  Archi Cam AI</w:t>
            </w:r>
          </w:p>
          <w:p>
            <w:pPr>
              <w:spacing w:before="184" w:after="0"/>
              <w:ind w:left="100"/>
            </w:pPr>
            <w:r>
              <w:rPr>
                <w:rFonts w:ascii="Segoe UI" w:hAnsi="Segoe UI"/>
                <w:b/>
                <w:color w:val="38BDF8"/>
                <w:sz w:val="18"/>
              </w:rPr>
              <w:t>CONTACT &amp; PROFILS</w:t>
            </w:r>
          </w:p>
          <w:p>
            <w:pPr>
              <w:spacing w:before="4" w:after="36"/>
              <w:ind w:left="100"/>
            </w:pPr>
            <w:r>
              <w:rPr>
                <w:color w:val="0284C7"/>
                <w:sz w:val="9"/>
              </w:rPr>
              <w:t>━━━━━━━━━━━━━━━━━━</w:t>
            </w:r>
          </w:p>
          <w:p>
            <w:pPr>
              <w:spacing w:before="0" w:after="50" w:line="259" w:lineRule="auto"/>
              <w:ind w:left="100"/>
            </w:pPr>
            <w:r>
              <w:rPr>
                <w:color w:val="F8FAFC"/>
                <w:sz w:val="16"/>
              </w:rPr>
              <w:t>✉  contact@archicam-ai.com</w:t>
            </w:r>
          </w:p>
          <w:p>
            <w:pPr>
              <w:spacing w:before="0" w:after="50" w:line="259" w:lineRule="auto"/>
              <w:ind w:left="100"/>
            </w:pPr>
            <w:r>
              <w:rPr>
                <w:color w:val="F8FAFC"/>
                <w:sz w:val="16"/>
              </w:rPr>
              <w:t>✆  +237 695 35 34 02</w:t>
            </w:r>
          </w:p>
          <w:p>
            <w:pPr>
              <w:spacing w:before="0" w:after="50" w:line="259" w:lineRule="auto"/>
              <w:ind w:left="100"/>
            </w:pPr>
            <w:r>
              <w:rPr>
                <w:color w:val="F8FAFC"/>
                <w:sz w:val="16"/>
              </w:rPr>
              <w:t>⌂  Douala / Ngaoundéré, CM</w:t>
            </w:r>
          </w:p>
          <w:p>
            <w:pPr>
              <w:spacing w:before="0" w:after="50" w:line="259" w:lineRule="auto"/>
              <w:ind w:left="100"/>
            </w:pPr>
            <w:r>
              <w:rPr>
                <w:color w:val="F8FAFC"/>
                <w:sz w:val="16"/>
              </w:rPr>
              <w:t>🐙  github.com/gervais-afk</w:t>
            </w:r>
          </w:p>
          <w:p>
            <w:pPr>
              <w:spacing w:before="0" w:after="50" w:line="259" w:lineRule="auto"/>
              <w:ind w:left="100"/>
            </w:pPr>
            <w:r>
              <w:rPr>
                <w:color w:val="F8FAFC"/>
                <w:sz w:val="16"/>
              </w:rPr>
              <w:t>💼  linkedin.com/in/marie-gervais-koa</w:t>
            </w:r>
          </w:p>
          <w:p>
            <w:pPr>
              <w:spacing w:before="184" w:after="0"/>
              <w:ind w:left="100"/>
            </w:pPr>
            <w:r>
              <w:rPr>
                <w:rFonts w:ascii="Segoe UI" w:hAnsi="Segoe UI"/>
                <w:b/>
                <w:color w:val="38BDF8"/>
                <w:sz w:val="18"/>
              </w:rPr>
              <w:t>IA &amp; LLM STACK</w:t>
            </w:r>
          </w:p>
          <w:p>
            <w:pPr>
              <w:spacing w:before="4" w:after="36"/>
              <w:ind w:left="100"/>
            </w:pPr>
            <w:r>
              <w:rPr>
                <w:color w:val="0284C7"/>
                <w:sz w:val="9"/>
              </w:rPr>
              <w:t>━━━━━━━━━━━━━━━━━━</w:t>
            </w:r>
          </w:p>
          <w:p>
            <w:pPr>
              <w:spacing w:before="0" w:after="50" w:line="259" w:lineRule="auto"/>
              <w:ind w:left="100"/>
            </w:pPr>
            <w:r>
              <w:rPr>
                <w:color w:val="F8FAFC"/>
                <w:sz w:val="16"/>
              </w:rPr>
              <w:t>Google Antigravity IDE  ■ ■ ■ ■ ■</w:t>
            </w:r>
          </w:p>
          <w:p>
            <w:pPr>
              <w:spacing w:before="0" w:after="50" w:line="259" w:lineRule="auto"/>
              <w:ind w:left="100"/>
            </w:pPr>
            <w:r>
              <w:rPr>
                <w:color w:val="F8FAFC"/>
                <w:sz w:val="16"/>
              </w:rPr>
              <w:t>LangGraph &amp; CrewAI      ■ ■ ■ ■ ■</w:t>
            </w:r>
          </w:p>
          <w:p>
            <w:pPr>
              <w:spacing w:before="0" w:after="50" w:line="259" w:lineRule="auto"/>
              <w:ind w:left="100"/>
            </w:pPr>
            <w:r>
              <w:rPr>
                <w:color w:val="F8FAFC"/>
                <w:sz w:val="16"/>
              </w:rPr>
              <w:t>Google Gemma 4 (12B)    ■ ■ ■ ■ ■</w:t>
            </w:r>
          </w:p>
          <w:p>
            <w:pPr>
              <w:spacing w:before="0" w:after="50" w:line="259" w:lineRule="auto"/>
              <w:ind w:left="100"/>
            </w:pPr>
            <w:r>
              <w:rPr>
                <w:color w:val="F8FAFC"/>
                <w:sz w:val="16"/>
              </w:rPr>
              <w:t>Gemini 2.5 / 1.5 Pro    ■ ■ ■ ■ ■</w:t>
            </w:r>
          </w:p>
          <w:p>
            <w:pPr>
              <w:spacing w:before="0" w:after="50" w:line="259" w:lineRule="auto"/>
              <w:ind w:left="100"/>
            </w:pPr>
            <w:r>
              <w:rPr>
                <w:color w:val="F8FAFC"/>
                <w:sz w:val="16"/>
              </w:rPr>
              <w:t>Google TabFM (Tabular)  ■ ■ ■ ■ ■</w:t>
            </w:r>
          </w:p>
          <w:p>
            <w:pPr>
              <w:spacing w:before="0" w:after="50" w:line="259" w:lineRule="auto"/>
              <w:ind w:left="100"/>
            </w:pPr>
            <w:r>
              <w:rPr>
                <w:color w:val="F8FAFC"/>
                <w:sz w:val="16"/>
              </w:rPr>
              <w:t>FastMCP &amp; Genkit        ■ ■ ■ ■ ■</w:t>
            </w:r>
          </w:p>
          <w:p>
            <w:pPr>
              <w:spacing w:before="0" w:after="50" w:line="259" w:lineRule="auto"/>
              <w:ind w:left="100"/>
            </w:pPr>
            <w:r>
              <w:rPr>
                <w:color w:val="F8FAFC"/>
                <w:sz w:val="16"/>
              </w:rPr>
              <w:t>Neo4j GraphRAG — Agent K1</w:t>
            </w:r>
          </w:p>
          <w:p>
            <w:pPr>
              <w:spacing w:before="184" w:after="0"/>
              <w:ind w:left="100"/>
            </w:pPr>
            <w:r>
              <w:rPr>
                <w:rFonts w:ascii="Segoe UI" w:hAnsi="Segoe UI"/>
                <w:b/>
                <w:color w:val="38BDF8"/>
                <w:sz w:val="18"/>
              </w:rPr>
              <w:t>DATA &amp; GRAPHES</w:t>
            </w:r>
          </w:p>
          <w:p>
            <w:pPr>
              <w:spacing w:before="4" w:after="36"/>
              <w:ind w:left="100"/>
            </w:pPr>
            <w:r>
              <w:rPr>
                <w:color w:val="0284C7"/>
                <w:sz w:val="9"/>
              </w:rPr>
              <w:t>━━━━━━━━━━━━━━━━━━</w:t>
            </w:r>
          </w:p>
          <w:p>
            <w:pPr>
              <w:spacing w:before="0" w:after="50" w:line="259" w:lineRule="auto"/>
              <w:ind w:left="100"/>
            </w:pPr>
            <w:r>
              <w:rPr>
                <w:color w:val="F8FAFC"/>
                <w:sz w:val="16"/>
              </w:rPr>
              <w:t>Neo4j / Cypher Graph    ■ ■ ■ ■ ■</w:t>
            </w:r>
          </w:p>
          <w:p>
            <w:pPr>
              <w:spacing w:before="0" w:after="50" w:line="259" w:lineRule="auto"/>
              <w:ind w:left="100"/>
            </w:pPr>
            <w:r>
              <w:rPr>
                <w:color w:val="F8FAFC"/>
                <w:sz w:val="16"/>
              </w:rPr>
              <w:t>PostgreSQL / pgvector   ■ ■ ■ ■ ■</w:t>
            </w:r>
          </w:p>
          <w:p>
            <w:pPr>
              <w:spacing w:before="0" w:after="50" w:line="259" w:lineRule="auto"/>
              <w:ind w:left="100"/>
            </w:pPr>
            <w:r>
              <w:rPr>
                <w:color w:val="F8FAFC"/>
                <w:sz w:val="16"/>
              </w:rPr>
              <w:t>Apache AGE &amp; DuckDB     ■ ■ ■ ■ □</w:t>
            </w:r>
          </w:p>
          <w:p>
            <w:pPr>
              <w:spacing w:before="0" w:after="50" w:line="259" w:lineRule="auto"/>
              <w:ind w:left="100"/>
            </w:pPr>
            <w:r>
              <w:rPr>
                <w:color w:val="F8FAFC"/>
                <w:sz w:val="16"/>
              </w:rPr>
              <w:t>BigQuery DataFrames     ■ ■ ■ ■ □</w:t>
            </w:r>
          </w:p>
          <w:p>
            <w:pPr>
              <w:spacing w:before="0" w:after="50" w:line="259" w:lineRule="auto"/>
              <w:ind w:left="100"/>
            </w:pPr>
            <w:r>
              <w:rPr>
                <w:color w:val="F8FAFC"/>
                <w:sz w:val="16"/>
              </w:rPr>
              <w:t>Pandas / NumPy ETL      ■ ■ ■ ■ ■</w:t>
            </w:r>
          </w:p>
          <w:p>
            <w:pPr>
              <w:spacing w:before="184" w:after="0"/>
              <w:ind w:left="100"/>
            </w:pPr>
            <w:r>
              <w:rPr>
                <w:rFonts w:ascii="Segoe UI" w:hAnsi="Segoe UI"/>
                <w:b/>
                <w:color w:val="38BDF8"/>
                <w:sz w:val="18"/>
              </w:rPr>
              <w:t>DEV &amp; MLOPS</w:t>
            </w:r>
          </w:p>
          <w:p>
            <w:pPr>
              <w:spacing w:before="4" w:after="36"/>
              <w:ind w:left="100"/>
            </w:pPr>
            <w:r>
              <w:rPr>
                <w:color w:val="0284C7"/>
                <w:sz w:val="9"/>
              </w:rPr>
              <w:t>━━━━━━━━━━━━━━━━━━</w:t>
            </w:r>
          </w:p>
          <w:p>
            <w:pPr>
              <w:spacing w:before="0" w:after="50" w:line="259" w:lineRule="auto"/>
              <w:ind w:left="100"/>
            </w:pPr>
            <w:r>
              <w:rPr>
                <w:color w:val="F8FAFC"/>
                <w:sz w:val="16"/>
              </w:rPr>
              <w:t>Python 3.11+ / MLOps    ■ ■ ■ ■ ■</w:t>
            </w:r>
          </w:p>
          <w:p>
            <w:pPr>
              <w:spacing w:before="0" w:after="50" w:line="259" w:lineRule="auto"/>
              <w:ind w:left="100"/>
            </w:pPr>
            <w:r>
              <w:rPr>
                <w:color w:val="F8FAFC"/>
                <w:sz w:val="16"/>
              </w:rPr>
              <w:t>FastAPI / Next.js 14    ■ ■ ■ ■ □</w:t>
            </w:r>
          </w:p>
          <w:p>
            <w:pPr>
              <w:spacing w:before="0" w:after="50" w:line="259" w:lineRule="auto"/>
              <w:ind w:left="100"/>
            </w:pPr>
            <w:r>
              <w:rPr>
                <w:color w:val="F8FAFC"/>
                <w:sz w:val="16"/>
              </w:rPr>
              <w:t>MLflow &amp; Data Drift     ■ ■ ■ ■ □</w:t>
            </w:r>
          </w:p>
          <w:p>
            <w:pPr>
              <w:spacing w:before="0" w:after="50" w:line="259" w:lineRule="auto"/>
              <w:ind w:left="100"/>
            </w:pPr>
            <w:r>
              <w:rPr>
                <w:color w:val="F8FAFC"/>
                <w:sz w:val="16"/>
              </w:rPr>
              <w:t>SHAP Sentinel Audit     ■ ■ ■ ■ ■</w:t>
            </w:r>
          </w:p>
          <w:p>
            <w:pPr>
              <w:spacing w:before="0" w:after="50" w:line="259" w:lineRule="auto"/>
              <w:ind w:left="100"/>
            </w:pPr>
            <w:r>
              <w:rPr>
                <w:color w:val="F8FAFC"/>
                <w:sz w:val="16"/>
              </w:rPr>
              <w:t>IfcOpenShell &amp; Shapely  ■ ■ ■ ■ □</w:t>
            </w:r>
          </w:p>
          <w:p>
            <w:pPr>
              <w:spacing w:before="0" w:after="50" w:line="259" w:lineRule="auto"/>
              <w:ind w:left="100"/>
            </w:pPr>
            <w:r>
              <w:rPr>
                <w:color w:val="F8FAFC"/>
                <w:sz w:val="16"/>
              </w:rPr>
              <w:t>Docker &amp; Pytest         ■ ■ ■ ■ ■</w:t>
            </w:r>
          </w:p>
          <w:p>
            <w:pPr>
              <w:spacing w:before="184" w:after="0"/>
              <w:ind w:left="100"/>
            </w:pPr>
            <w:r>
              <w:rPr>
                <w:rFonts w:ascii="Segoe UI" w:hAnsi="Segoe UI"/>
                <w:b/>
                <w:color w:val="38BDF8"/>
                <w:sz w:val="18"/>
              </w:rPr>
              <w:t>ÉTHIQUE, SÛRETÉ &amp; AUDIT</w:t>
            </w:r>
          </w:p>
          <w:p>
            <w:pPr>
              <w:spacing w:before="4" w:after="36"/>
              <w:ind w:left="100"/>
            </w:pPr>
            <w:r>
              <w:rPr>
                <w:color w:val="0284C7"/>
                <w:sz w:val="9"/>
              </w:rPr>
              <w:t>━━━━━━━━━━━━━━━━━━</w:t>
            </w:r>
          </w:p>
          <w:p>
            <w:pPr>
              <w:spacing w:before="0" w:after="50" w:line="259" w:lineRule="auto"/>
              <w:ind w:left="100"/>
            </w:pPr>
            <w:r>
              <w:rPr>
                <w:color w:val="F8FAFC"/>
                <w:sz w:val="16"/>
              </w:rPr>
              <w:t>◈ Attestation Excellence CCAA '23</w:t>
            </w:r>
          </w:p>
          <w:p>
            <w:pPr>
              <w:spacing w:before="0" w:after="50" w:line="259" w:lineRule="auto"/>
              <w:ind w:left="100"/>
            </w:pPr>
            <w:r>
              <w:rPr>
                <w:color w:val="F8FAFC"/>
                <w:sz w:val="16"/>
              </w:rPr>
              <w:t>◈ Agent AVSEC (Annexe 17 OACI)</w:t>
            </w:r>
          </w:p>
          <w:p>
            <w:pPr>
              <w:spacing w:before="0" w:after="50" w:line="259" w:lineRule="auto"/>
              <w:ind w:left="100"/>
            </w:pPr>
            <w:r>
              <w:rPr>
                <w:color w:val="F8FAFC"/>
                <w:sz w:val="16"/>
              </w:rPr>
              <w:t>◈ Éthique IA &amp; Anti-Hallucination</w:t>
            </w:r>
          </w:p>
          <w:p>
            <w:pPr>
              <w:spacing w:before="0" w:after="50" w:line="259" w:lineRule="auto"/>
              <w:ind w:left="100"/>
            </w:pPr>
            <w:r>
              <w:rPr>
                <w:color w:val="F8FAFC"/>
                <w:sz w:val="16"/>
              </w:rPr>
              <w:t>◈ OKF v0.2 SHA-256 No-LLM</w:t>
            </w:r>
          </w:p>
          <w:p>
            <w:pPr>
              <w:spacing w:before="0" w:after="50" w:line="259" w:lineRule="auto"/>
              <w:ind w:left="100"/>
            </w:pPr>
            <w:r>
              <w:rPr>
                <w:color w:val="F8FAFC"/>
                <w:sz w:val="16"/>
              </w:rPr>
              <w:t>◈ Conformité EU AI Act (RSASSA)</w:t>
            </w:r>
          </w:p>
          <w:p>
            <w:pPr>
              <w:spacing w:before="184" w:after="0"/>
              <w:ind w:left="100"/>
            </w:pPr>
            <w:r>
              <w:rPr>
                <w:rFonts w:ascii="Segoe UI" w:hAnsi="Segoe UI"/>
                <w:b/>
                <w:color w:val="38BDF8"/>
                <w:sz w:val="18"/>
              </w:rPr>
              <w:t>LANGUES</w:t>
            </w:r>
          </w:p>
          <w:p>
            <w:pPr>
              <w:spacing w:before="4" w:after="36"/>
              <w:ind w:left="100"/>
            </w:pPr>
            <w:r>
              <w:rPr>
                <w:color w:val="0284C7"/>
                <w:sz w:val="9"/>
              </w:rPr>
              <w:t>━━━━━━━━━━━━━━━━━━</w:t>
            </w:r>
          </w:p>
          <w:p>
            <w:pPr>
              <w:spacing w:before="0" w:after="50" w:line="259" w:lineRule="auto"/>
              <w:ind w:left="100"/>
            </w:pPr>
            <w:r>
              <w:rPr>
                <w:color w:val="F8FAFC"/>
                <w:sz w:val="16"/>
              </w:rPr>
              <w:t>Français  —  Courant / Natif</w:t>
            </w:r>
          </w:p>
          <w:p>
            <w:pPr>
              <w:spacing w:before="0" w:after="50" w:line="259" w:lineRule="auto"/>
              <w:ind w:left="100"/>
            </w:pPr>
            <w:r>
              <w:rPr>
                <w:color w:val="F8FAFC"/>
                <w:sz w:val="16"/>
              </w:rPr>
              <w:t>Anglais   —  Tech. &amp; Écrit / Oral Interm.</w:t>
            </w:r>
          </w:p>
        </w:tc>
        <w:tc>
          <w:tcPr>
            <w:tcW w:type="dxa" w:w="8136"/>
            <w:shd w:fill="FFFFFF"/>
            <w:tcMar>
              <w:top w:w="140" w:type="dxa"/>
              <w:left w:w="180" w:type="dxa"/>
              <w:bottom w:w="0" w:type="dxa"/>
              <w:right w:w="190" w:type="dxa"/>
            </w:tcMar>
          </w:tcPr>
          <w:p>
            <w:pPr>
              <w:spacing w:before="0" w:after="8"/>
            </w:pPr>
            <w:r>
              <w:rPr>
                <w:rFonts w:ascii="Segoe UI" w:hAnsi="Segoe UI"/>
                <w:b/>
                <w:color w:val="0A1128"/>
                <w:sz w:val="41"/>
              </w:rPr>
              <w:t>KOA MARIE GERVAIS NELLY</w:t>
            </w:r>
          </w:p>
          <w:p>
            <w:pPr>
              <w:spacing w:before="0" w:after="12"/>
            </w:pPr>
            <w:r>
              <w:rPr>
                <w:b/>
                <w:color w:val="0284C7"/>
                <w:sz w:val="18"/>
              </w:rPr>
              <w:t>Lead AI Engineer &amp; Spécialiste IA Appliquée   │   Fondateur @ Archi Cam AI</w:t>
            </w:r>
          </w:p>
          <w:p>
            <w:pPr>
              <w:spacing w:before="0" w:after="30"/>
            </w:pPr>
            <w:r>
              <w:rPr>
                <w:color w:val="0284C7"/>
                <w:sz w:val="10"/>
              </w:rPr>
              <w:t>──────────────────────────────────────────────────────────────────────</w:t>
            </w:r>
          </w:p>
          <w:p>
            <w:pPr>
              <w:spacing w:before="44" w:after="2"/>
            </w:pPr>
            <w:r>
              <w:rPr>
                <w:b/>
                <w:color w:val="0284C7"/>
                <w:sz w:val="16"/>
              </w:rPr>
              <w:t xml:space="preserve">◈  </w:t>
            </w:r>
            <w:r>
              <w:rPr>
                <w:rFonts w:ascii="Segoe UI" w:hAnsi="Segoe UI"/>
                <w:b/>
                <w:color w:val="0A1128"/>
                <w:sz w:val="19"/>
              </w:rPr>
              <w:t>RÉSUMÉ PROFESSIONNEL</w:t>
            </w:r>
          </w:p>
          <w:p>
            <w:pPr>
              <w:spacing w:before="0" w:after="20"/>
            </w:pPr>
            <w:r>
              <w:rPr>
                <w:color w:val="0284C7"/>
                <w:sz w:val="9"/>
              </w:rPr>
              <w:t>━━━━━━━━━━━━━━━━━━</w:t>
            </w:r>
            <w:r>
              <w:rPr>
                <w:color w:val="38BDF8"/>
                <w:sz w:val="8"/>
              </w:rPr>
              <w:t>────────────────────────────────────────────</w:t>
            </w:r>
          </w:p>
          <w:p>
            <w:pPr>
              <w:spacing w:before="8" w:after="20" w:line="252" w:lineRule="auto"/>
            </w:pPr>
            <w:r>
              <w:rPr>
                <w:color w:val="334155"/>
                <w:sz w:val="17"/>
              </w:rPr>
              <w:t>Ingénieur spécialisé en IA appliquée et architectures d'agents autonomes, je conçois des systèmes déterministes, explicables et souverains à zéro hallucination. Membre du Google Developer Program, j'articule la rigueur mathématique du génie civil et la data science avancée pour résoudre des problématiques industrielles complexes. Fondateur d'Archi Cam AI (SaaS BIM 5D &amp; estimation prédictive), je bâtis des solutions auditables, robustes et orientées vers un fort impact opérationnel.</w:t>
            </w:r>
          </w:p>
          <w:p>
            <w:pPr>
              <w:spacing w:before="44" w:after="2"/>
            </w:pPr>
            <w:r>
              <w:rPr>
                <w:b/>
                <w:color w:val="0284C7"/>
                <w:sz w:val="16"/>
              </w:rPr>
              <w:t xml:space="preserve">◈  </w:t>
            </w:r>
            <w:r>
              <w:rPr>
                <w:rFonts w:ascii="Segoe UI" w:hAnsi="Segoe UI"/>
                <w:b/>
                <w:color w:val="0A1128"/>
                <w:sz w:val="19"/>
              </w:rPr>
              <w:t>PROJETS IA MAJEURS</w:t>
            </w:r>
          </w:p>
          <w:p>
            <w:pPr>
              <w:spacing w:before="0" w:after="20"/>
            </w:pPr>
            <w:r>
              <w:rPr>
                <w:color w:val="0284C7"/>
                <w:sz w:val="9"/>
              </w:rPr>
              <w:t>━━━━━━━━━━━━━━━━━━</w:t>
            </w:r>
            <w:r>
              <w:rPr>
                <w:color w:val="38BDF8"/>
                <w:sz w:val="8"/>
              </w:rPr>
              <w:t>────────────────────────────────────────────</w:t>
            </w:r>
          </w:p>
          <w:p>
            <w:pPr>
              <w:spacing w:before="32" w:after="2"/>
            </w:pPr>
            <w:r>
              <w:rPr>
                <w:b/>
                <w:color w:val="0A1128"/>
                <w:sz w:val="18"/>
              </w:rPr>
              <w:t>Archi Cam AI</w:t>
            </w:r>
            <w:r>
              <w:rPr>
                <w:i/>
                <w:color w:val="0284C7"/>
                <w:sz w:val="16"/>
              </w:rPr>
              <w:t xml:space="preserve">   —   SaaS IA &amp; Chiffrage BIM 5D pour le BTP</w:t>
            </w:r>
          </w:p>
          <w:p>
            <w:pPr>
              <w:spacing w:before="0" w:after="8" w:line="252" w:lineRule="auto"/>
              <w:ind w:left="200"/>
            </w:pPr>
            <w:r>
              <w:rPr>
                <w:b/>
                <w:color w:val="0284C7"/>
                <w:sz w:val="15"/>
              </w:rPr>
              <w:t xml:space="preserve">▸  </w:t>
            </w:r>
            <w:r>
              <w:rPr>
                <w:color w:val="334155"/>
                <w:sz w:val="16"/>
              </w:rPr>
              <w:t>Automatisation intégrale du chiffrage et métrés gros œuvre : élimine les erreurs d'estimation et le surcoût de matériaux.</w:t>
            </w:r>
          </w:p>
          <w:p>
            <w:pPr>
              <w:spacing w:before="0" w:after="8" w:line="252" w:lineRule="auto"/>
              <w:ind w:left="200"/>
            </w:pPr>
            <w:r>
              <w:rPr>
                <w:b/>
                <w:color w:val="0284C7"/>
                <w:sz w:val="15"/>
              </w:rPr>
              <w:t xml:space="preserve">▸  </w:t>
            </w:r>
            <w:r>
              <w:rPr>
                <w:color w:val="334155"/>
                <w:sz w:val="16"/>
              </w:rPr>
              <w:t>Génération instantanée de devis normés (DQE) en moins de 45s (gain de 99,2% de temps) et projections visuelles 3D.</w:t>
            </w:r>
          </w:p>
          <w:p>
            <w:pPr>
              <w:spacing w:before="0" w:after="8" w:line="252" w:lineRule="auto"/>
              <w:ind w:left="200"/>
            </w:pPr>
            <w:r>
              <w:rPr>
                <w:b/>
                <w:color w:val="0284C7"/>
                <w:sz w:val="15"/>
              </w:rPr>
              <w:t xml:space="preserve">▸  </w:t>
            </w:r>
            <w:r>
              <w:rPr>
                <w:color w:val="334155"/>
                <w:sz w:val="16"/>
              </w:rPr>
              <w:t>Calculs de structures béton armé déterministes zéro-hallucination conformes aux règles d'urbanisme.</w:t>
            </w:r>
          </w:p>
          <w:p>
            <w:pPr>
              <w:spacing w:before="32" w:after="2"/>
            </w:pPr>
            <w:r>
              <w:rPr>
                <w:b/>
                <w:color w:val="0A1128"/>
                <w:sz w:val="18"/>
              </w:rPr>
              <w:t>K1-MATHINFO (v3.2.0)</w:t>
            </w:r>
            <w:r>
              <w:rPr>
                <w:i/>
                <w:color w:val="0284C7"/>
                <w:sz w:val="16"/>
              </w:rPr>
              <w:t xml:space="preserve">   —   Valorisation &amp; Recherche Académique Souveraine</w:t>
            </w:r>
          </w:p>
          <w:p>
            <w:pPr>
              <w:spacing w:before="0" w:after="8" w:line="252" w:lineRule="auto"/>
              <w:ind w:left="200"/>
            </w:pPr>
            <w:r>
              <w:rPr>
                <w:b/>
                <w:color w:val="0284C7"/>
                <w:sz w:val="15"/>
              </w:rPr>
              <w:t xml:space="preserve">▸  </w:t>
            </w:r>
            <w:r>
              <w:rPr>
                <w:color w:val="334155"/>
                <w:sz w:val="16"/>
              </w:rPr>
              <w:t>Sauvegarde, indexation sémantique et valorisation de 28 ans de patrimoine (471 thèses &amp; mémoires DMI, 4 494 relations).</w:t>
            </w:r>
          </w:p>
          <w:p>
            <w:pPr>
              <w:spacing w:before="0" w:after="8" w:line="252" w:lineRule="auto"/>
              <w:ind w:left="200"/>
            </w:pPr>
            <w:r>
              <w:rPr>
                <w:b/>
                <w:color w:val="0284C7"/>
                <w:sz w:val="15"/>
              </w:rPr>
              <w:t xml:space="preserve">▸  </w:t>
            </w:r>
            <w:r>
              <w:rPr>
                <w:color w:val="334155"/>
                <w:sz w:val="16"/>
              </w:rPr>
              <w:t>Advisor Matcher neuro-symbolique, haute disponibilité avec Circuit Breaker et 192 tests automatisés (100% succès).</w:t>
            </w:r>
          </w:p>
          <w:p>
            <w:pPr>
              <w:spacing w:before="32" w:after="2"/>
            </w:pPr>
            <w:r>
              <w:rPr>
                <w:b/>
                <w:color w:val="0A1128"/>
                <w:sz w:val="18"/>
              </w:rPr>
              <w:t>Sovereign.BI Agentic</w:t>
            </w:r>
            <w:r>
              <w:rPr>
                <w:i/>
                <w:color w:val="0284C7"/>
                <w:sz w:val="16"/>
              </w:rPr>
              <w:t xml:space="preserve">   —   Pilotage Stratégique &amp; Décisionnel d'Entreprise</w:t>
            </w:r>
          </w:p>
          <w:p>
            <w:pPr>
              <w:spacing w:before="0" w:after="8" w:line="252" w:lineRule="auto"/>
              <w:ind w:left="200"/>
            </w:pPr>
            <w:r>
              <w:rPr>
                <w:b/>
                <w:color w:val="0284C7"/>
                <w:sz w:val="15"/>
              </w:rPr>
              <w:t xml:space="preserve">▸  </w:t>
            </w:r>
            <w:r>
              <w:rPr>
                <w:color w:val="334155"/>
                <w:sz w:val="16"/>
              </w:rPr>
              <w:t>Démocratisation de l'aide à la décision : interrogation des entrepôts de données en langage naturel en moins de 5s.</w:t>
            </w:r>
          </w:p>
          <w:p>
            <w:pPr>
              <w:spacing w:before="0" w:after="8" w:line="252" w:lineRule="auto"/>
              <w:ind w:left="200"/>
            </w:pPr>
            <w:r>
              <w:rPr>
                <w:b/>
                <w:color w:val="0284C7"/>
                <w:sz w:val="15"/>
              </w:rPr>
              <w:t xml:space="preserve">▸  </w:t>
            </w:r>
            <w:r>
              <w:rPr>
                <w:color w:val="334155"/>
                <w:sz w:val="16"/>
              </w:rPr>
              <w:t>Étanchéité souveraine absolue en réseau fermé (zéro fuite) et audit mathématique de causalité de chaque KPI.</w:t>
            </w:r>
          </w:p>
          <w:p>
            <w:pPr>
              <w:spacing w:before="32" w:after="2"/>
            </w:pPr>
            <w:r>
              <w:rPr>
                <w:b/>
                <w:color w:val="0A1128"/>
                <w:sz w:val="18"/>
              </w:rPr>
              <w:t>Dataset Automator &amp; VigieSahel</w:t>
            </w:r>
            <w:r>
              <w:rPr>
                <w:i/>
                <w:color w:val="0284C7"/>
                <w:sz w:val="16"/>
              </w:rPr>
              <w:t xml:space="preserve">   —   IA à Fort Impact &amp; Résilience Agro-Climatique</w:t>
            </w:r>
          </w:p>
          <w:p>
            <w:pPr>
              <w:spacing w:before="0" w:after="8" w:line="252" w:lineRule="auto"/>
              <w:ind w:left="200"/>
            </w:pPr>
            <w:r>
              <w:rPr>
                <w:b/>
                <w:color w:val="0284C7"/>
                <w:sz w:val="15"/>
              </w:rPr>
              <w:t xml:space="preserve">▸  </w:t>
            </w:r>
            <w:r>
              <w:rPr>
                <w:color w:val="334155"/>
                <w:sz w:val="16"/>
              </w:rPr>
              <w:t>Dataset Automator : Usine autonome accélérant la préparation de données fiables avec audit de conformité éthique.</w:t>
            </w:r>
          </w:p>
          <w:p>
            <w:pPr>
              <w:spacing w:before="0" w:after="8" w:line="252" w:lineRule="auto"/>
              <w:ind w:left="200"/>
            </w:pPr>
            <w:r>
              <w:rPr>
                <w:b/>
                <w:color w:val="0284C7"/>
                <w:sz w:val="15"/>
              </w:rPr>
              <w:t xml:space="preserve">▸  </w:t>
            </w:r>
            <w:r>
              <w:rPr>
                <w:color w:val="334155"/>
                <w:sz w:val="16"/>
              </w:rPr>
              <w:t>VigieSahel : Résilience sahélienne réduisant de 35% les échecs de semis et alertant 14 jours avant les flambées épidémiques.</w:t>
            </w:r>
          </w:p>
          <w:p>
            <w:pPr>
              <w:spacing w:before="44" w:after="2"/>
            </w:pPr>
            <w:r>
              <w:rPr>
                <w:b/>
                <w:color w:val="0284C7"/>
                <w:sz w:val="16"/>
              </w:rPr>
              <w:t xml:space="preserve">◈  </w:t>
            </w:r>
            <w:r>
              <w:rPr>
                <w:rFonts w:ascii="Segoe UI" w:hAnsi="Segoe UI"/>
                <w:b/>
                <w:color w:val="0A1128"/>
                <w:sz w:val="19"/>
              </w:rPr>
              <w:t>PARCOURS PROFESSIONNEL</w:t>
            </w:r>
          </w:p>
          <w:p>
            <w:pPr>
              <w:spacing w:before="0" w:after="20"/>
            </w:pPr>
            <w:r>
              <w:rPr>
                <w:color w:val="0284C7"/>
                <w:sz w:val="9"/>
              </w:rPr>
              <w:t>━━━━━━━━━━━━━━━━━━</w:t>
            </w:r>
            <w:r>
              <w:rPr>
                <w:color w:val="38BDF8"/>
                <w:sz w:val="8"/>
              </w:rPr>
              <w:t>────────────────────────────────────────────</w:t>
            </w:r>
          </w:p>
          <w:p>
            <w:pPr>
              <w:spacing w:before="32" w:after="2"/>
            </w:pPr>
            <w:r>
              <w:rPr>
                <w:b/>
                <w:color w:val="0A1128"/>
                <w:sz w:val="18"/>
              </w:rPr>
              <w:t>Consultant IA &amp; Data Science</w:t>
            </w:r>
            <w:r>
              <w:rPr>
                <w:i/>
                <w:color w:val="0284C7"/>
                <w:sz w:val="16"/>
              </w:rPr>
              <w:t xml:space="preserve">   —   Mars 2026 – Présent</w:t>
            </w:r>
          </w:p>
          <w:p>
            <w:pPr>
              <w:spacing w:before="0" w:after="2"/>
            </w:pPr>
            <w:r>
              <w:rPr>
                <w:i/>
                <w:color w:val="64748B"/>
                <w:sz w:val="16"/>
              </w:rPr>
              <w:t>Projets Indépendants &amp; Entreprises  │  Douala, CM</w:t>
            </w:r>
          </w:p>
          <w:p>
            <w:pPr>
              <w:spacing w:before="0" w:after="8" w:line="252" w:lineRule="auto"/>
              <w:ind w:left="200"/>
            </w:pPr>
            <w:r>
              <w:rPr>
                <w:b/>
                <w:color w:val="0284C7"/>
                <w:sz w:val="15"/>
              </w:rPr>
              <w:t xml:space="preserve">▸  </w:t>
            </w:r>
            <w:r>
              <w:rPr>
                <w:color w:val="334155"/>
                <w:sz w:val="16"/>
              </w:rPr>
              <w:t>Systèmes IA souverains éthiques : pipelines GraphRAG Neo4j, EDA haute dimension, architectures RAG multi-sources.</w:t>
            </w:r>
          </w:p>
          <w:p>
            <w:pPr>
              <w:spacing w:before="0" w:after="8" w:line="252" w:lineRule="auto"/>
              <w:ind w:left="200"/>
            </w:pPr>
            <w:r>
              <w:rPr>
                <w:b/>
                <w:color w:val="0284C7"/>
                <w:sz w:val="15"/>
              </w:rPr>
              <w:t xml:space="preserve">▸  </w:t>
            </w:r>
            <w:r>
              <w:rPr>
                <w:color w:val="334155"/>
                <w:sz w:val="16"/>
              </w:rPr>
              <w:t>Reporting exécutif, dashboards KPI automatisés et audits d'explicabilité SHAP pour PME.</w:t>
            </w:r>
          </w:p>
          <w:p>
            <w:pPr>
              <w:spacing w:before="32" w:after="2"/>
            </w:pPr>
            <w:r>
              <w:rPr>
                <w:b/>
                <w:color w:val="0A1128"/>
                <w:sz w:val="18"/>
              </w:rPr>
              <w:t>Agent de Sûreté Aéroportuaire (AVSEC)</w:t>
            </w:r>
            <w:r>
              <w:rPr>
                <w:i/>
                <w:color w:val="0284C7"/>
                <w:sz w:val="16"/>
              </w:rPr>
              <w:t xml:space="preserve">   —   2018 – Présent</w:t>
            </w:r>
          </w:p>
          <w:p>
            <w:pPr>
              <w:spacing w:before="0" w:after="2"/>
            </w:pPr>
            <w:r>
              <w:rPr>
                <w:i/>
                <w:color w:val="64748B"/>
                <w:sz w:val="16"/>
              </w:rPr>
              <w:t>CCAA — Autorité Aéronautique du Cameroun  │  Douala, CM</w:t>
            </w:r>
          </w:p>
          <w:p>
            <w:pPr>
              <w:spacing w:before="0" w:after="8" w:line="252" w:lineRule="auto"/>
              <w:ind w:left="200"/>
            </w:pPr>
            <w:r>
              <w:rPr>
                <w:b/>
                <w:color w:val="0284C7"/>
                <w:sz w:val="15"/>
              </w:rPr>
              <w:t xml:space="preserve">▸  </w:t>
            </w:r>
            <w:r>
              <w:rPr>
                <w:color w:val="334155"/>
                <w:sz w:val="16"/>
              </w:rPr>
              <w:t>Évaluation des menaces, contrôle strict des accès sécurisés, conformité réglementaire ICAO Annexe 17.</w:t>
            </w:r>
          </w:p>
          <w:p>
            <w:pPr>
              <w:spacing w:before="0" w:after="8" w:line="252" w:lineRule="auto"/>
              <w:ind w:left="200"/>
            </w:pPr>
            <w:r>
              <w:rPr>
                <w:b/>
                <w:color w:val="0284C7"/>
                <w:sz w:val="15"/>
              </w:rPr>
              <w:t xml:space="preserve">▸  </w:t>
            </w:r>
            <w:r>
              <w:rPr>
                <w:color w:val="334155"/>
                <w:sz w:val="16"/>
              </w:rPr>
              <w:t>Gestion de crises opérationnelles : coordination d'équipes en situation d'urgence, protocoles anti-intrusion.</w:t>
            </w:r>
          </w:p>
          <w:p>
            <w:pPr>
              <w:spacing w:before="44" w:after="2"/>
            </w:pPr>
            <w:r>
              <w:rPr>
                <w:b/>
                <w:color w:val="0284C7"/>
                <w:sz w:val="16"/>
              </w:rPr>
              <w:t xml:space="preserve">◈  </w:t>
            </w:r>
            <w:r>
              <w:rPr>
                <w:rFonts w:ascii="Segoe UI" w:hAnsi="Segoe UI"/>
                <w:b/>
                <w:color w:val="0A1128"/>
                <w:sz w:val="19"/>
              </w:rPr>
              <w:t>FORMATION ACADÉMIQUE</w:t>
            </w:r>
          </w:p>
          <w:p>
            <w:pPr>
              <w:spacing w:before="0" w:after="20"/>
            </w:pPr>
            <w:r>
              <w:rPr>
                <w:color w:val="0284C7"/>
                <w:sz w:val="9"/>
              </w:rPr>
              <w:t>━━━━━━━━━━━━━━━━━━</w:t>
            </w:r>
            <w:r>
              <w:rPr>
                <w:color w:val="38BDF8"/>
                <w:sz w:val="8"/>
              </w:rPr>
              <w:t>────────────────────────────────────────────</w:t>
            </w:r>
          </w:p>
          <w:p>
            <w:pPr>
              <w:spacing w:before="32" w:after="2"/>
            </w:pPr>
            <w:r>
              <w:rPr>
                <w:b/>
                <w:color w:val="0A1128"/>
                <w:sz w:val="18"/>
              </w:rPr>
              <w:t>Master Pro. — Intelligence Artificielle Appliquée</w:t>
            </w:r>
            <w:r>
              <w:rPr>
                <w:i/>
                <w:color w:val="0284C7"/>
                <w:sz w:val="16"/>
              </w:rPr>
              <w:t xml:space="preserve">   —   Déc. 2025 – 2027  [En cours]</w:t>
            </w:r>
          </w:p>
          <w:p>
            <w:pPr>
              <w:spacing w:before="0" w:after="2"/>
            </w:pPr>
            <w:r>
              <w:rPr>
                <w:i/>
                <w:color w:val="64748B"/>
                <w:sz w:val="16"/>
              </w:rPr>
              <w:t>Université de Ngaoundéré  │  Cameroun</w:t>
            </w:r>
          </w:p>
          <w:p>
            <w:pPr>
              <w:spacing w:before="0" w:after="8" w:line="252" w:lineRule="auto"/>
              <w:ind w:left="200"/>
            </w:pPr>
            <w:r>
              <w:rPr>
                <w:b/>
                <w:color w:val="0284C7"/>
                <w:sz w:val="15"/>
              </w:rPr>
              <w:t xml:space="preserve">▸  </w:t>
            </w:r>
            <w:r>
              <w:rPr>
                <w:color w:val="334155"/>
                <w:sz w:val="16"/>
              </w:rPr>
              <w:t>ML &amp; Stats Bayésienne, Data Engineering Neo4j, Vision &amp; Robotique, Éthique &amp; Cybersécurité, MLOps Souverains.</w:t>
            </w:r>
          </w:p>
          <w:p>
            <w:pPr>
              <w:spacing w:before="0" w:after="8" w:line="252" w:lineRule="auto"/>
              <w:ind w:left="200"/>
            </w:pPr>
            <w:r>
              <w:rPr>
                <w:b/>
                <w:color w:val="0284C7"/>
                <w:sz w:val="15"/>
              </w:rPr>
              <w:t xml:space="preserve">▸  </w:t>
            </w:r>
            <w:r>
              <w:rPr>
                <w:color w:val="334155"/>
                <w:sz w:val="16"/>
              </w:rPr>
              <w:t>Projet de recherche : système K1-MATHINFO v3.2 — agent multi-sources certifié OKF v0.2 (SHA-256 No-LLM, 192 tests).</w:t>
            </w:r>
          </w:p>
          <w:p>
            <w:pPr>
              <w:spacing w:before="32" w:after="2"/>
            </w:pPr>
            <w:r>
              <w:rPr>
                <w:b/>
                <w:color w:val="0A1128"/>
                <w:sz w:val="18"/>
              </w:rPr>
              <w:t>Licence &amp; BTS Génie Civil (Option Bâtiment)</w:t>
            </w:r>
            <w:r>
              <w:rPr>
                <w:i/>
                <w:color w:val="0284C7"/>
                <w:sz w:val="16"/>
              </w:rPr>
              <w:t xml:space="preserve">   —   2015 – 2016</w:t>
            </w:r>
          </w:p>
          <w:p>
            <w:pPr>
              <w:spacing w:before="0" w:after="2"/>
            </w:pPr>
            <w:r>
              <w:rPr>
                <w:i/>
                <w:color w:val="64748B"/>
                <w:sz w:val="16"/>
              </w:rPr>
              <w:t>ISTDI / IUC Douala  │  Cameroun</w:t>
            </w:r>
          </w:p>
          <w:p>
            <w:pPr>
              <w:spacing w:before="0" w:after="8" w:line="252" w:lineRule="auto"/>
              <w:ind w:left="200"/>
            </w:pPr>
            <w:r>
              <w:rPr>
                <w:b/>
                <w:color w:val="0284C7"/>
                <w:sz w:val="15"/>
              </w:rPr>
              <w:t xml:space="preserve">▸  </w:t>
            </w:r>
            <w:r>
              <w:rPr>
                <w:color w:val="334155"/>
                <w:sz w:val="16"/>
              </w:rPr>
              <w:t>Dimensionnement structures (BAEL 91), métrés et gestion de projets BTP — base de l'IA appliquée au BTP.</w:t>
            </w:r>
          </w:p>
          <w:p>
            <w:pPr>
              <w:spacing w:before="44" w:after="2"/>
            </w:pPr>
            <w:r>
              <w:rPr>
                <w:b/>
                <w:color w:val="0284C7"/>
                <w:sz w:val="16"/>
              </w:rPr>
              <w:t xml:space="preserve">◈  </w:t>
            </w:r>
            <w:r>
              <w:rPr>
                <w:rFonts w:ascii="Segoe UI" w:hAnsi="Segoe UI"/>
                <w:b/>
                <w:color w:val="0A1128"/>
                <w:sz w:val="19"/>
              </w:rPr>
              <w:t>RECONNAISSANCES &amp; DISTINCTIONS</w:t>
            </w:r>
          </w:p>
          <w:p>
            <w:pPr>
              <w:spacing w:before="0" w:after="20"/>
            </w:pPr>
            <w:r>
              <w:rPr>
                <w:color w:val="0284C7"/>
                <w:sz w:val="9"/>
              </w:rPr>
              <w:t>━━━━━━━━━━━━━━━━━━</w:t>
            </w:r>
            <w:r>
              <w:rPr>
                <w:color w:val="38BDF8"/>
                <w:sz w:val="8"/>
              </w:rPr>
              <w:t>────────────────────────────────────────────</w:t>
            </w:r>
          </w:p>
          <w:p>
            <w:pPr>
              <w:spacing w:before="24" w:after="8" w:line="252" w:lineRule="auto"/>
              <w:ind w:left="200"/>
            </w:pPr>
            <w:r>
              <w:rPr>
                <w:b/>
                <w:color w:val="0284C7"/>
                <w:sz w:val="15"/>
              </w:rPr>
              <w:t xml:space="preserve">◆  </w:t>
            </w:r>
            <w:r>
              <w:rPr>
                <w:rFonts w:ascii="Segoe UI" w:hAnsi="Segoe UI"/>
                <w:b/>
                <w:color w:val="0A1128"/>
                <w:sz w:val="16"/>
              </w:rPr>
              <w:t xml:space="preserve">Attestation d'Excellence &amp; Intégrité CCAA (2023)  —  </w:t>
            </w:r>
            <w:r>
              <w:rPr>
                <w:rFonts w:ascii="Segoe UI" w:hAnsi="Segoe UI"/>
                <w:color w:val="334155"/>
                <w:sz w:val="16"/>
              </w:rPr>
              <w:t>Décernée par le Directeur Général pour performance et déontologie opérationnelle.</w:t>
            </w:r>
          </w:p>
          <w:p>
            <w:pPr>
              <w:spacing w:before="24" w:after="8" w:line="252" w:lineRule="auto"/>
              <w:ind w:left="200"/>
            </w:pPr>
            <w:r>
              <w:rPr>
                <w:b/>
                <w:color w:val="0284C7"/>
                <w:sz w:val="15"/>
              </w:rPr>
              <w:t xml:space="preserve">◆  </w:t>
            </w:r>
            <w:r>
              <w:rPr>
                <w:rFonts w:ascii="Segoe UI" w:hAnsi="Segoe UI"/>
                <w:b/>
                <w:color w:val="0A1128"/>
                <w:sz w:val="16"/>
              </w:rPr>
              <w:t xml:space="preserve">Google Cloud #AllThingsAgentic Hackathon  —  </w:t>
            </w:r>
            <w:r>
              <w:rPr>
                <w:rFonts w:ascii="Segoe UI" w:hAnsi="Segoe UI"/>
                <w:color w:val="334155"/>
                <w:sz w:val="16"/>
              </w:rPr>
              <w:t>Dataset Automator v4.0 (Google Antigravity, TabFM, BigQuery DataFrames, WIT).</w:t>
            </w:r>
          </w:p>
          <w:p>
            <w:pPr>
              <w:spacing w:before="24" w:after="8" w:line="252" w:lineRule="auto"/>
              <w:ind w:left="200"/>
            </w:pPr>
            <w:r>
              <w:rPr>
                <w:b/>
                <w:color w:val="0284C7"/>
                <w:sz w:val="15"/>
              </w:rPr>
              <w:t xml:space="preserve">◆  </w:t>
            </w:r>
            <w:r>
              <w:rPr>
                <w:rFonts w:ascii="Segoe UI" w:hAnsi="Segoe UI"/>
                <w:b/>
                <w:color w:val="0A1128"/>
                <w:sz w:val="16"/>
              </w:rPr>
              <w:t xml:space="preserve">Google Developer Program · AICC Accra  —  </w:t>
            </w:r>
            <w:r>
              <w:rPr>
                <w:rFonts w:ascii="Segoe UI" w:hAnsi="Segoe UI"/>
                <w:color w:val="334155"/>
                <w:sz w:val="16"/>
              </w:rPr>
              <w:t>Membre actif · Accra AI Community Centre &amp; Google for Startups Accelerator Network.</w:t>
            </w:r>
          </w:p>
        </w:tc>
      </w:tr>
    </w:tbl>
    <w:p>
      <w:pPr>
        <w:spacing w:before="0" w:after="0" w:line="20" w:lineRule="exact"/>
        <w:spacing w:before="0" w:after="0" w:line="20" w:lineRule="exact"/>
        <w:rPr>
          <w:sz w:val="2"/>
          <w:szCs w:val="2"/>
        </w:rPr>
      </w:pPr>
      <w:r>
        <w:rPr>
          <w:sz w:val="2"/>
        </w:rPr>
      </w:r>
    </w:p>
    <w:sectPr w:rsidR="00FC693F" w:rsidRPr="0006063C" w:rsidSect="00034616">
      <w:pgSz w:w="11909" w:h="16834"/>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