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Ind w:w="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14"/>
        <w:gridCol w:w="4514"/>
      </w:tblGrid>
      <w:tr>
        <w:trPr>
          <w:trHeight w:val="16837" w:hRule="exact"/>
        </w:trPr>
        <w:tc>
          <w:tcPr>
            <w:tcW w:type="dxa" w:w="3744"/>
            <w:shd w:fill="0F172A"/>
            <w:tcMar>
              <w:top w:w="220" w:type="dxa"/>
              <w:bottom w:w="220" w:type="dxa"/>
              <w:left w:w="560" w:type="dxa"/>
              <w:right w:w="460" w:type="dxa"/>
            </w:tcMar>
          </w:tcPr>
          <w:p/>
          <w:tbl>
            <w:tblPr>
              <w:tblW w:type="auto" w:w="0"/>
              <w:jc w:val="center"/>
              <w:tblLook w:firstColumn="1" w:firstRow="1" w:lastColumn="0" w:lastRow="0" w:noHBand="0" w:noVBand="1" w:val="04A0"/>
            </w:tblPr>
            <w:tblGrid>
              <w:gridCol w:w="3744"/>
            </w:tblGrid>
            <w:tr>
              <w:tc>
                <w:tcPr>
                  <w:tcW w:type="dxa" w:w="3744"/>
                  <w:shd w:fill="1E3A5F"/>
                  <w:tcMar>
                    <w:top w:w="12" w:type="dxa"/>
                    <w:bottom w:w="12" w:type="dxa"/>
                    <w:left w:w="12" w:type="dxa"/>
                    <w:right w:w="12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298448" cy="129844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98448" cy="129844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CONTACT &amp; PROFILS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✉  magenel85@gmail.com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✆  +237 695 35 34 02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⌂  Douala / Ngaoundéré, CM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🌐  github.com/gervais-afk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💼  linkedin.com/in/marie-gervais-koa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⚡  devpost.com/magenel85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🏅  Google Developer Program</w:t>
            </w:r>
          </w:p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IA &amp; LLM STACK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Google Antigravity IDE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Google Gemma 4 (12B)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Gemini 2.5 / 1.5 Pro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Google TabFM (Tabular)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LangGraph Multi-Agents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Firebase Genkit     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Neo4j GraphRAG — Agent K1</w:t>
            </w:r>
          </w:p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DATA &amp; GRAPHES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Neo4j / Cypher Graph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PostgreSQL / pgvector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Google BigQuery         ■ ■ ■ ■ □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Supabase Realtime       ■ ■ ■ ■ □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Pandas / NumPy ETL      ■ ■ ■ ■ ■</w:t>
            </w:r>
          </w:p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DEV &amp; MLOPS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Python 3.11+ / MLOps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FastAPI / Next.js 14    ■ ■ ■ ■ □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MLflow &amp; Data Drift     ■ ■ ■ ■ □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SHAP Sentinel Audit 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Docker &amp; Streamlit      ■ ■ ■ ■ ■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IfcOpenShell (5D BIM)   ■ ■ ■ ■ □</w:t>
            </w:r>
          </w:p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SÉCURITÉ &amp; AUDIT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Gouvernance Quorum 4 Yeux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OKF v0.2 SHA-256 No-LLM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EU AI Act (RSASSA-PSS)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Cadre AVSEC (Annexe 17 OACI)</w:t>
            </w:r>
          </w:p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LANGUES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Français  —  Courant / Natif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Anglais   —  Technique &amp; Pro</w:t>
            </w:r>
          </w:p>
          <w:p>
            <w:pPr>
              <w:spacing w:before="100" w:after="0"/>
            </w:pPr>
            <w:r>
              <w:rPr>
                <w:rFonts w:ascii="Segoe UI" w:hAnsi="Segoe UI"/>
                <w:b/>
                <w:color w:val="38BDF8"/>
                <w:sz w:val="15"/>
              </w:rPr>
              <w:t>ATOUTS CLÉS</w:t>
            </w:r>
          </w:p>
          <w:p>
            <w:pPr>
              <w:spacing w:before="10" w:after="40"/>
            </w:pPr>
            <w:r>
              <w:rPr>
                <w:color w:val="0284C7"/>
                <w:sz w:val="9"/>
              </w:rPr>
              <w:t>━━━━━━━━━━━━━━━━━━━━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Double compétence IA &amp; BTP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Gestion de crise &amp; Sûreté (CCAA)</w:t>
            </w:r>
          </w:p>
          <w:p>
            <w:pPr>
              <w:spacing w:before="0" w:after="28" w:line="252" w:lineRule="auto"/>
            </w:pPr>
            <w:r>
              <w:rPr>
                <w:color w:val="F8FAFC"/>
                <w:sz w:val="14"/>
              </w:rPr>
              <w:t>◈ Rigueur mathématique &amp; Guardrails</w:t>
            </w:r>
          </w:p>
        </w:tc>
        <w:tc>
          <w:tcPr>
            <w:tcW w:type="dxa" w:w="8165"/>
            <w:shd w:fill="FFFFFF"/>
            <w:tcMar>
              <w:top w:w="240" w:type="dxa"/>
              <w:bottom w:w="220" w:type="dxa"/>
              <w:left w:w="260" w:type="dxa"/>
              <w:right w:w="280" w:type="dxa"/>
            </w:tcMar>
          </w:tcPr>
          <w:p>
            <w:pPr>
              <w:spacing w:before="0" w:after="20"/>
            </w:pPr>
            <w:r>
              <w:rPr>
                <w:rFonts w:ascii="Segoe UI" w:hAnsi="Segoe UI"/>
                <w:b/>
                <w:color w:val="0A1128"/>
                <w:sz w:val="34"/>
              </w:rPr>
              <w:t>KOA MARIE GERVAIS NELLY</w:t>
            </w:r>
          </w:p>
          <w:p>
            <w:pPr>
              <w:spacing w:before="0" w:after="20"/>
            </w:pPr>
            <w:r>
              <w:rPr>
                <w:b/>
                <w:color w:val="0284C7"/>
                <w:sz w:val="17"/>
              </w:rPr>
              <w:t>Lead AI Engineer &amp; Consultant IA / Data   │   Fondateur @ Archi Cam AI</w:t>
            </w:r>
          </w:p>
          <w:p>
            <w:pPr>
              <w:spacing w:before="0" w:after="6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0" w:after="1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RÉSUMÉ PROFESSIONNEL</w:t>
            </w:r>
          </w:p>
          <w:p>
            <w:pPr>
              <w:spacing w:before="0"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50" w:line="276" w:lineRule="auto"/>
            </w:pPr>
            <w:r>
              <w:rPr>
                <w:color w:val="334155"/>
                <w:sz w:val="16"/>
              </w:rPr>
              <w:t>Consultant IA &amp; Lead AI Engineer (Google Developer Program Member), j'utilise Google Antigravity pour concevoir des systèmes d'agents autonomes neuro-symboliques, GraphRAG (Neo4j) et plateformes MLOps souveraines. Spécialiste des architectures déterministes et explicables. Fondateur d'Archi Cam AI (candidat Google Africa Applied AI Lab), j'allie rigueur mathématique et vision produit.</w:t>
            </w:r>
          </w:p>
          <w:p>
            <w:pPr>
              <w:spacing w:before="100" w:after="1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PROJETS IA MAJEURS</w:t>
            </w:r>
          </w:p>
          <w:p>
            <w:pPr>
              <w:spacing w:before="0"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Archi Cam AI</w:t>
            </w:r>
            <w:r>
              <w:rPr>
                <w:i/>
                <w:color w:val="0284C7"/>
                <w:sz w:val="15"/>
              </w:rPr>
              <w:t xml:space="preserve">   —   SaaS IA Agentique &amp; 5D BIM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Candidat officiel Google Africa Applied AI Lab. Développé sous Google Antigravity (Gemma 4 12B, Gemini, BAEL 91).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Génération DQE Excel &lt;45s (–99,2% temps, R²=0,9872 MLflow) et rendus 3D Imagen 3 + ControlNet.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K1-MATHINFO (v3.0.0)</w:t>
            </w:r>
            <w:r>
              <w:rPr>
                <w:i/>
                <w:color w:val="0284C7"/>
                <w:sz w:val="15"/>
              </w:rPr>
              <w:t xml:space="preserve">   —   IA Souveraine Multi-Agents &amp; Certification OKF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Système souverain DMI (Univ. Ngaoundéré) : 470 thèses, 19 projets M1, graphe Neo4j 1 366 nœuds.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6 agents LangGraph, RRF k=60 + Cross-Encoder, attesteur SHA-256 No-LLM, 77/77 tests (100%).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Sovereign.BI Agentic</w:t>
            </w:r>
            <w:r>
              <w:rPr>
                <w:i/>
                <w:color w:val="0284C7"/>
                <w:sz w:val="15"/>
              </w:rPr>
              <w:t xml:space="preserve">   —   Business Intelligence &amp; NL-to-SQL/Cypher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Moteur NL-to-SQL/Graph (PostgreSQL pgvector, Neo4j N10S, latence &lt;5s) avec guardrails ABAC + SHAP Sentinel.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Dataset Automator &amp; VigieSahel</w:t>
            </w:r>
            <w:r>
              <w:rPr>
                <w:i/>
                <w:color w:val="0284C7"/>
                <w:sz w:val="15"/>
              </w:rPr>
              <w:t xml:space="preserve">   —   MLOps &amp; IA Impact Agro-Climatique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Dataset Automator : Usine MLOps Antigravity (TabFM, BigQuery DataFrames, Data Drift KS/PSI, EU AI Act).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VigieSahel : –35% pertes semis, anticipation épidémies +14j (XGBoost R²&gt;94%, Supabase, MLflow).</w:t>
            </w:r>
          </w:p>
          <w:p>
            <w:pPr>
              <w:spacing w:before="100" w:after="1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PARCOURS PROFESSIONNEL</w:t>
            </w:r>
          </w:p>
          <w:p>
            <w:pPr>
              <w:spacing w:before="0"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Consultant IA &amp; Data Science</w:t>
            </w:r>
            <w:r>
              <w:rPr>
                <w:i/>
                <w:color w:val="0284C7"/>
                <w:sz w:val="15"/>
              </w:rPr>
              <w:t xml:space="preserve">   —   2025 – Présent</w:t>
            </w:r>
          </w:p>
          <w:p>
            <w:pPr>
              <w:spacing w:before="0" w:after="10"/>
            </w:pPr>
            <w:r>
              <w:rPr>
                <w:b/>
                <w:color w:val="64748B"/>
                <w:sz w:val="15"/>
              </w:rPr>
              <w:t>Projets Indépendants &amp; Entreprises  │  Douala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IA souveraines, pipelines RAG/GraphRAG Neo4j, bases SQL, EDA massive et reporting décisionnel exécutif.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Agent de Sûreté Aéroportuaire (AVSEC)</w:t>
            </w:r>
            <w:r>
              <w:rPr>
                <w:i/>
                <w:color w:val="0284C7"/>
                <w:sz w:val="15"/>
              </w:rPr>
              <w:t xml:space="preserve">   —   2018 – Présent</w:t>
            </w:r>
          </w:p>
          <w:p>
            <w:pPr>
              <w:spacing w:before="0" w:after="10"/>
            </w:pPr>
            <w:r>
              <w:rPr>
                <w:b/>
                <w:color w:val="64748B"/>
                <w:sz w:val="15"/>
              </w:rPr>
              <w:t>CCAA (Autorité Aéronautique du Cameroun)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Analyse risques opérationnels, contrôle d'accès sécurisé, audits conformité (Annexe 17 OACI).</w:t>
            </w:r>
          </w:p>
          <w:p>
            <w:pPr>
              <w:spacing w:before="100" w:after="1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FORMATION ACADÉMIQUE</w:t>
            </w:r>
          </w:p>
          <w:p>
            <w:pPr>
              <w:spacing w:before="0"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Master Professionnel en Intelligence Artificielle Appliquée</w:t>
            </w:r>
            <w:r>
              <w:rPr>
                <w:i/>
                <w:color w:val="0284C7"/>
                <w:sz w:val="15"/>
              </w:rPr>
              <w:t xml:space="preserve">   —   2025 – 2027  [En cours]</w:t>
            </w:r>
          </w:p>
          <w:p>
            <w:pPr>
              <w:spacing w:before="0" w:after="10"/>
            </w:pPr>
            <w:r>
              <w:rPr>
                <w:b/>
                <w:color w:val="64748B"/>
                <w:sz w:val="15"/>
              </w:rPr>
              <w:t>Université de Ngaoundéré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ML &amp; Stats Bayésienne, Data Eng. &amp; Neo4j, Vision &amp; Robotique, Cybersécurité &amp; Blockchain, MLOps Souverains.</w:t>
            </w:r>
          </w:p>
          <w:p>
            <w:pPr>
              <w:spacing w:before="60" w:after="10"/>
            </w:pPr>
            <w:r>
              <w:rPr>
                <w:b/>
                <w:color w:val="0A1128"/>
                <w:sz w:val="17"/>
              </w:rPr>
              <w:t>Licence &amp; BTS Génie Civil (Option Bâtiment)</w:t>
            </w:r>
            <w:r>
              <w:rPr>
                <w:i/>
                <w:color w:val="0284C7"/>
                <w:sz w:val="15"/>
              </w:rPr>
              <w:t xml:space="preserve">   —   2015 – 2016</w:t>
            </w:r>
          </w:p>
          <w:p>
            <w:pPr>
              <w:spacing w:before="0" w:after="10"/>
            </w:pPr>
            <w:r>
              <w:rPr>
                <w:b/>
                <w:color w:val="64748B"/>
                <w:sz w:val="15"/>
              </w:rPr>
              <w:t>ISTDI / IUC Douala</w:t>
            </w:r>
          </w:p>
          <w:p>
            <w:pPr>
              <w:spacing w:before="0" w:after="24" w:line="264" w:lineRule="auto"/>
              <w:ind w:left="144"/>
            </w:pPr>
            <w:r>
              <w:rPr>
                <w:b/>
                <w:color w:val="0284C7"/>
                <w:sz w:val="15"/>
              </w:rPr>
              <w:t xml:space="preserve">▸  </w:t>
            </w:r>
            <w:r>
              <w:rPr>
                <w:color w:val="334155"/>
                <w:sz w:val="15"/>
              </w:rPr>
              <w:t>Dimensionnement structures (BAEL 91), métrés &amp; gestion de projets BTP.</w:t>
            </w:r>
          </w:p>
          <w:p>
            <w:pPr>
              <w:spacing w:before="100" w:after="10"/>
            </w:pPr>
            <w:r>
              <w:rPr>
                <w:b/>
                <w:color w:val="0284C7"/>
                <w:sz w:val="16"/>
              </w:rPr>
              <w:t xml:space="preserve">◈  </w:t>
            </w:r>
            <w:r>
              <w:rPr>
                <w:rFonts w:ascii="Segoe UI" w:hAnsi="Segoe UI"/>
                <w:b/>
                <w:color w:val="0A1128"/>
                <w:sz w:val="19"/>
              </w:rPr>
              <w:t>RECONNAISSANCES &amp; CANDIDATURES</w:t>
            </w:r>
          </w:p>
          <w:p>
            <w:pPr>
              <w:spacing w:before="0"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30" w:line="276" w:lineRule="auto"/>
            </w:pPr>
            <w:r>
              <w:rPr>
                <w:b/>
                <w:color w:val="0A1128"/>
                <w:sz w:val="16"/>
              </w:rPr>
              <w:t xml:space="preserve">◈ Google Africa Applied AI Lab (Accra, 2026) : </w:t>
            </w:r>
            <w:r>
              <w:rPr>
                <w:color w:val="334155"/>
                <w:sz w:val="16"/>
              </w:rPr>
              <w:t>Candidature officielle — plateforme Archi Cam AI.</w:t>
              <w:br/>
            </w:r>
            <w:r>
              <w:rPr>
                <w:b/>
                <w:color w:val="0A1128"/>
                <w:sz w:val="16"/>
              </w:rPr>
              <w:t xml:space="preserve">◈ Hackathon Google Cloud #AllThingsAgentic : </w:t>
            </w:r>
            <w:r>
              <w:rPr>
                <w:color w:val="334155"/>
                <w:sz w:val="16"/>
              </w:rPr>
              <w:t>Dataset Automator v4.0 (Google Antigravity, TabFM, WIT, bigframes, MCT).</w:t>
            </w:r>
          </w:p>
        </w:tc>
      </w:tr>
    </w:tbl>
    <w:sectPr w:rsidR="00FC693F" w:rsidRPr="0006063C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