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310FF5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310FF5" w:rsidRDefault="00496055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10FF5" w:rsidRDefault="00496055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310FF5" w:rsidRDefault="00496055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 &amp; AICC Member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Functional basics (tools &amp; doc.)</w:t>
            </w:r>
          </w:p>
          <w:p w:rsidR="00310FF5" w:rsidRDefault="00496055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310FF5" w:rsidRDefault="0049605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310FF5" w:rsidRDefault="00496055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310FF5" w:rsidRDefault="00496055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310FF5" w:rsidRDefault="00496055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310FF5" w:rsidRDefault="00496055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</w:t>
            </w:r>
          </w:p>
          <w:p w:rsidR="00310FF5" w:rsidRDefault="0049605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310FF5" w:rsidRDefault="0049605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10FF5" w:rsidRDefault="00496055">
            <w:pPr>
              <w:spacing w:after="30" w:line="264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neuro-symbolic multi-ag</w:t>
            </w:r>
            <w:r>
              <w:rPr>
                <w:color w:val="334155"/>
              </w:rPr>
              <w:t>ent architectures, Neo4j GraphRAG, and sovereign MLOps pipelines. Expert in AI ethics: SHAP transparency, EU AI Act compliance, and deterministic zero-hallucination models. Founder &amp; Architect of Archi Cam AI (Agentic AI SaaS &amp; 5D BIM), bridging civil engi</w:t>
            </w:r>
            <w:r>
              <w:rPr>
                <w:color w:val="334155"/>
              </w:rPr>
              <w:t>neering methodology, mathematical rigor, and product vision.</w:t>
            </w:r>
          </w:p>
          <w:p w:rsidR="00310FF5" w:rsidRDefault="0049605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310FF5" w:rsidRDefault="0049605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Sovereign 5D BIM &amp; BOQ estimation platform engineered with </w:t>
            </w:r>
            <w:r>
              <w:rPr>
                <w:color w:val="334155"/>
              </w:rPr>
              <w:t>Google Antigravity (Gemma 4 12B, Gemini 2.5, BAEL 91).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Imagen 3 + ControlNet.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IfcOpenShell integration for 5D BIM models: automated costing &amp; scheduling via LangGraph age</w:t>
            </w:r>
            <w:r>
              <w:rPr>
                <w:color w:val="334155"/>
              </w:rPr>
              <w:t>nts.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(critic anti-hallucinat</w:t>
            </w:r>
            <w:r>
              <w:rPr>
                <w:color w:val="334155"/>
              </w:rPr>
              <w:t>ion, Cypher optimizer), RRF k=60, SHA-256 No-LLM (100%).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Interactive executive das</w:t>
            </w:r>
            <w:r>
              <w:rPr>
                <w:color w:val="334155"/>
              </w:rPr>
              <w:t>hboards via Streamlit &amp; FastAPI — deployed on sovereign Docker cloud.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TabFM, BigQuery DataFrames, EU AI Act.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</w:t>
            </w:r>
            <w:r>
              <w:rPr>
                <w:color w:val="334155"/>
              </w:rPr>
              <w:t>eSahel: –35% crop loss, +14d epidemic forecast (XGBoost R²&gt;94%, Supabase, MLflow).</w:t>
            </w:r>
          </w:p>
          <w:p w:rsidR="00310FF5" w:rsidRDefault="0049605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310FF5" w:rsidRDefault="0049605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March 2026 – Present</w:t>
            </w:r>
          </w:p>
          <w:p w:rsidR="00310FF5" w:rsidRDefault="00496055">
            <w:pPr>
              <w:spacing w:after="4"/>
            </w:pPr>
            <w:r>
              <w:rPr>
                <w:b/>
                <w:color w:val="64748B"/>
              </w:rPr>
              <w:t>Independent Projects &amp;</w:t>
            </w:r>
            <w:r>
              <w:rPr>
                <w:b/>
                <w:color w:val="64748B"/>
              </w:rPr>
              <w:t xml:space="preserve"> Enterprises  │  Douala, CM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 systems: GraphRAG Neo4j pipelines, high-dimensional EDA, multi-source RAG architectures.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Executive decision reporting, automated KPI dashboards, and SHAP explainability audits for African SMEs.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310FF5" w:rsidRDefault="00496055">
            <w:pPr>
              <w:spacing w:after="4"/>
            </w:pPr>
            <w:r>
              <w:rPr>
                <w:b/>
                <w:color w:val="64748B"/>
              </w:rPr>
              <w:t>CCAA — Cameroon Civil Aviation Authority  │  Douala, CM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and regulatory compliance audits (ICAO Annex 17).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Operational crisis management: emergency team c</w:t>
            </w:r>
            <w:r>
              <w:rPr>
                <w:color w:val="334155"/>
              </w:rPr>
              <w:t>oordination, anti-intrusion protocols.</w:t>
            </w:r>
          </w:p>
          <w:p w:rsidR="00310FF5" w:rsidRDefault="0049605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310FF5" w:rsidRDefault="0049605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Dec. 2025 – 2027  [In Progress]</w:t>
            </w:r>
          </w:p>
          <w:p w:rsidR="00310FF5" w:rsidRDefault="00496055">
            <w:pPr>
              <w:spacing w:after="4"/>
            </w:pPr>
            <w:r>
              <w:rPr>
                <w:b/>
                <w:color w:val="64748B"/>
              </w:rPr>
              <w:t>University of Ngaoundéré  │  Cameroon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</w:t>
            </w:r>
            <w:r>
              <w:rPr>
                <w:color w:val="334155"/>
              </w:rPr>
              <w:t xml:space="preserve"> Bayesian Statistics, Data Engineering &amp; Neo4j, Computer Vision &amp; Robotics, Ethics &amp; Cybersecurity, Production MLOps.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Research project: K1-MATHINFO v3 sovereign system — multi-source agent certified OKF v0.2 (SHA-256 No-LLM).</w:t>
            </w:r>
          </w:p>
          <w:p w:rsidR="00310FF5" w:rsidRDefault="00496055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B.Sc. in Civil Engineering </w:t>
            </w:r>
            <w:r>
              <w:rPr>
                <w:b/>
                <w:color w:val="0A1128"/>
                <w:sz w:val="18"/>
              </w:rPr>
              <w:t>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310FF5" w:rsidRDefault="00496055">
            <w:pPr>
              <w:spacing w:after="4"/>
            </w:pPr>
            <w:r>
              <w:rPr>
                <w:b/>
                <w:color w:val="64748B"/>
              </w:rPr>
              <w:t>ISTDI / IUC Douala  │  Cameroon</w:t>
            </w:r>
          </w:p>
          <w:p w:rsidR="00310FF5" w:rsidRDefault="0049605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Structural calculations (BAEL 91), quantity surveying, construction project management — AI-applied estimation base.</w:t>
            </w:r>
          </w:p>
          <w:p w:rsidR="00310FF5" w:rsidRDefault="0049605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310FF5" w:rsidRDefault="0049605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</w:t>
            </w:r>
            <w:r>
              <w:rPr>
                <w:color w:val="38BDF8"/>
                <w:sz w:val="9"/>
              </w:rPr>
              <w:t>──────────────────────────────</w:t>
            </w:r>
          </w:p>
          <w:p w:rsidR="00310FF5" w:rsidRDefault="0049605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CCAA Certificate of Excellence &amp; Integrity (2023)</w:t>
            </w:r>
            <w:r>
              <w:rPr>
                <w:color w:val="334155"/>
              </w:rPr>
              <w:t xml:space="preserve">  —  Awarded by the Director General for outstanding operational performance &amp; ethics.</w:t>
            </w:r>
          </w:p>
          <w:p w:rsidR="00310FF5" w:rsidRDefault="0049605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(Google Antigravi</w:t>
            </w:r>
            <w:r>
              <w:rPr>
                <w:color w:val="334155"/>
              </w:rPr>
              <w:t>ty, TabFM, BigQuery DataFrames, WIT).</w:t>
            </w:r>
          </w:p>
          <w:p w:rsidR="00310FF5" w:rsidRDefault="0049605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AICC Accra</w:t>
            </w:r>
            <w:r>
              <w:rPr>
                <w:color w:val="334155"/>
              </w:rPr>
              <w:t xml:space="preserve">  —  Active member · Accra AI Community Centre &amp; Google for Startups Accelerator Network.</w:t>
            </w:r>
          </w:p>
        </w:tc>
      </w:tr>
    </w:tbl>
    <w:p w:rsidR="00310FF5" w:rsidRDefault="00310FF5">
      <w:pPr>
        <w:spacing w:after="0" w:line="20" w:lineRule="exact"/>
        <w:rPr>
          <w:sz w:val="2"/>
          <w:szCs w:val="2"/>
        </w:rPr>
      </w:pPr>
    </w:p>
    <w:sectPr w:rsidR="00310FF5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0FF5"/>
    <w:rsid w:val="00326F90"/>
    <w:rsid w:val="004960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0441AC8-E0CF-4066-8D18-4641D7460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83B61D-92CE-4D65-93D8-7F4752A0A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736</Words>
  <Characters>4357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2026-09-07T13:43:00Z</cp:lastPrinted>
  <dcterms:created xsi:type="dcterms:W3CDTF">2013-12-23T23:15:00Z</dcterms:created>
  <dcterms:modified xsi:type="dcterms:W3CDTF">2026-09-07T13:43:00Z</dcterms:modified>
  <cp:category/>
</cp:coreProperties>
</file>