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15"/>
        <w:gridCol w:w="8194"/>
      </w:tblGrid>
      <w:tr w:rsidR="00AD2D4F">
        <w:trPr>
          <w:cantSplit/>
          <w:trHeight w:val="15400"/>
        </w:trPr>
        <w:tc>
          <w:tcPr>
            <w:tcW w:w="3715" w:type="dxa"/>
            <w:shd w:val="clear" w:color="auto" w:fill="0F172A"/>
            <w:tcMar>
              <w:top w:w="180" w:type="dxa"/>
              <w:left w:w="440" w:type="dxa"/>
              <w:bottom w:w="140" w:type="dxa"/>
              <w:right w:w="180" w:type="dxa"/>
            </w:tcMar>
          </w:tcPr>
          <w:p w:rsidR="00AD2D4F" w:rsidRDefault="00DE44F6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298448" cy="12984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D2D4F" w:rsidRDefault="00DE44F6">
            <w:pPr>
              <w:spacing w:before="60" w:after="0"/>
              <w:jc w:val="center"/>
            </w:pPr>
            <w:r>
              <w:rPr>
                <w:b/>
                <w:color w:val="38BDF8"/>
                <w:sz w:val="13"/>
              </w:rPr>
              <w:t>◈  LEAD AI ENGINEER</w:t>
            </w:r>
          </w:p>
          <w:p w:rsidR="00AD2D4F" w:rsidRDefault="00DE44F6">
            <w:pPr>
              <w:spacing w:after="30"/>
              <w:jc w:val="center"/>
            </w:pPr>
            <w:r>
              <w:rPr>
                <w:color w:val="64748B"/>
                <w:sz w:val="12"/>
              </w:rPr>
              <w:t>Fondateur  ·  Archi Cam AI</w:t>
            </w:r>
          </w:p>
          <w:p w:rsidR="00AD2D4F" w:rsidRDefault="00DE44F6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CONTACT &amp; PROFILS</w:t>
            </w:r>
          </w:p>
          <w:p w:rsidR="00AD2D4F" w:rsidRDefault="00DE44F6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AD2D4F" w:rsidRDefault="00DE44F6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IA &amp; LLM STACK</w:t>
            </w:r>
          </w:p>
          <w:p w:rsidR="00AD2D4F" w:rsidRDefault="00DE44F6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LangGraph &amp; CrewAI  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FastMCP &amp; Genkit    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AD2D4F" w:rsidRDefault="00DE44F6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DATA &amp; GRAPHES</w:t>
            </w:r>
          </w:p>
          <w:p w:rsidR="00AD2D4F" w:rsidRDefault="00DE44F6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Apache AGE &amp; DuckDB     ■ ■ ■ ■ □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BigQuery DataFrames     ■ ■ ■ ■ □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AD2D4F" w:rsidRDefault="00DE44F6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DEV &amp; MLOPS</w:t>
            </w:r>
          </w:p>
          <w:p w:rsidR="00AD2D4F" w:rsidRDefault="00DE44F6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Fast</w:t>
            </w:r>
            <w:r>
              <w:rPr>
                <w:color w:val="F8FAFC"/>
                <w:sz w:val="15"/>
              </w:rPr>
              <w:t>API / Next.js 14    ■ ■ ■ ■ □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IfcOpenShell &amp; Shapely  ■ ■ ■ ■ □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Docker &amp; Pytest         ■ ■ ■ ■ ■</w:t>
            </w:r>
          </w:p>
          <w:p w:rsidR="00AD2D4F" w:rsidRDefault="00DE44F6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ÉTHIQUE, SÛRETÉ &amp; AUDIT</w:t>
            </w:r>
          </w:p>
          <w:p w:rsidR="00AD2D4F" w:rsidRDefault="00DE44F6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Attestation Excellence CCAA '23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 xml:space="preserve">◈ Agent AVSEC </w:t>
            </w:r>
            <w:r>
              <w:rPr>
                <w:color w:val="F8FAFC"/>
                <w:sz w:val="15"/>
              </w:rPr>
              <w:t>(Annexe 17 OACI)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AD2D4F" w:rsidRDefault="00DE44F6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LANGUES</w:t>
            </w:r>
          </w:p>
          <w:p w:rsidR="00AD2D4F" w:rsidRDefault="00DE44F6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AD2D4F" w:rsidRDefault="00DE44F6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Anglais   —  Bases fonctionnelles (outils &amp; doc.)</w:t>
            </w:r>
          </w:p>
        </w:tc>
        <w:tc>
          <w:tcPr>
            <w:tcW w:w="8194" w:type="dxa"/>
            <w:tcMar>
              <w:top w:w="180" w:type="dxa"/>
              <w:left w:w="200" w:type="dxa"/>
              <w:bottom w:w="100" w:type="dxa"/>
              <w:right w:w="220" w:type="dxa"/>
            </w:tcMar>
          </w:tcPr>
          <w:p w:rsidR="00AD2D4F" w:rsidRDefault="00DE44F6">
            <w:pPr>
              <w:spacing w:after="10"/>
            </w:pPr>
            <w:r>
              <w:rPr>
                <w:b/>
                <w:color w:val="0A1128"/>
                <w:sz w:val="40"/>
              </w:rPr>
              <w:t>KOA MARIE GERVAIS NELLY</w:t>
            </w:r>
          </w:p>
          <w:p w:rsidR="00AD2D4F" w:rsidRDefault="00DE44F6">
            <w:pPr>
              <w:spacing w:after="16"/>
            </w:pPr>
            <w:r>
              <w:rPr>
                <w:b/>
                <w:color w:val="0284C7"/>
                <w:sz w:val="18"/>
              </w:rPr>
              <w:t>Lead AI Engineer &amp;</w:t>
            </w:r>
            <w:r>
              <w:rPr>
                <w:b/>
                <w:color w:val="0284C7"/>
                <w:sz w:val="18"/>
              </w:rPr>
              <w:t xml:space="preserve"> Consultant IA / Data   │   Fondateur @ Archi Cam AI</w:t>
            </w:r>
          </w:p>
          <w:p w:rsidR="00AD2D4F" w:rsidRDefault="00DE44F6">
            <w:pPr>
              <w:spacing w:after="40"/>
            </w:pPr>
            <w:r>
              <w:rPr>
                <w:color w:val="0284C7"/>
                <w:sz w:val="10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AD2D4F" w:rsidRDefault="00DE44F6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RÉSUMÉ PROFESSIONNEL</w:t>
            </w:r>
          </w:p>
          <w:p w:rsidR="00AD2D4F" w:rsidRDefault="00DE44F6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AD2D4F" w:rsidRDefault="00DE44F6">
            <w:pPr>
              <w:spacing w:after="20" w:line="254" w:lineRule="auto"/>
            </w:pPr>
            <w:r>
              <w:rPr>
                <w:color w:val="334155"/>
              </w:rPr>
              <w:t>Consultant IA &amp; Lead AI Engineer (Google Deve</w:t>
            </w:r>
            <w:r>
              <w:rPr>
                <w:color w:val="334155"/>
              </w:rPr>
              <w:t>loper Program Member), je conçois des architectures d'agents autonomes neuro-symboliques, GraphRAG (Neo4j) et pipelines MLOps souverains avec Google Antigravity. Expert en éthique de l'IA : transparence SHAP, conformité EU AI Act et modèles déterministes z</w:t>
            </w:r>
            <w:r>
              <w:rPr>
                <w:color w:val="334155"/>
              </w:rPr>
              <w:t>éro-hallucination. Fondateur &amp; Architecte d'Archi Cam AI (SaaS IA &amp; 5D BIM), j'allie rigueur mathématique, vision produit et double expertise IA / Génie Civil.</w:t>
            </w:r>
          </w:p>
          <w:p w:rsidR="00AD2D4F" w:rsidRDefault="00DE44F6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PROJETS IA MAJEURS</w:t>
            </w:r>
          </w:p>
          <w:p w:rsidR="00AD2D4F" w:rsidRDefault="00DE44F6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 xml:space="preserve">Archi Cam </w:t>
            </w:r>
            <w:r>
              <w:rPr>
                <w:b/>
                <w:color w:val="0A1128"/>
                <w:sz w:val="18"/>
              </w:rPr>
              <w:t>AI</w:t>
            </w:r>
            <w:r>
              <w:rPr>
                <w:i/>
                <w:color w:val="0284C7"/>
                <w:sz w:val="15"/>
              </w:rPr>
              <w:t xml:space="preserve">   —   SaaS IA &amp; Chiffrage BIM 5D pour le BTP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Automatisation intégrale du chiffrage et métrés gros œuvre : élimine les erreurs humaines d'estimation et le surcoût de matériaux.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Génération instantanée de devis normés (DQE) en &lt;45s (gain de 99,2% de </w:t>
            </w:r>
            <w:r>
              <w:rPr>
                <w:color w:val="334155"/>
                <w:sz w:val="15"/>
              </w:rPr>
              <w:t>temps) et projections visuelles 3D pour investisseurs.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Calculs de structures béton armé déterministes zéro-hallucination avec conformité stricte aux règles d'urbanisme locales.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Valorisation &amp; Recherche Académique Souveraine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Sauvegarde, indexation sémantique et valorisation de 28 ans de patrimoine scientifique (470 thèses Ph.D. &amp; mémoires DMI).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Recommandation explicable du directeur de thèse idéal (Advisor Matcher) et certification d'intégrité anti-plagiat sans faille.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S</w:t>
            </w:r>
            <w:r>
              <w:rPr>
                <w:b/>
                <w:color w:val="0A1128"/>
                <w:sz w:val="18"/>
              </w:rPr>
              <w:t>overeign.BI Agentic</w:t>
            </w:r>
            <w:r>
              <w:rPr>
                <w:i/>
                <w:color w:val="0284C7"/>
                <w:sz w:val="15"/>
              </w:rPr>
              <w:t xml:space="preserve">   —   Pilotage Stratégique &amp; Décisionnel d'Entreprise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Démocratisation de l'aide à la décision : interrogation fluide des entrepôts de données complexes en langage naturel en &lt;5s.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Étanchéité souveraine absolue en réseau fermé (zéro</w:t>
            </w:r>
            <w:r>
              <w:rPr>
                <w:color w:val="334155"/>
                <w:sz w:val="15"/>
              </w:rPr>
              <w:t xml:space="preserve"> fuite) et audit mathématique de causalité de chaque indicateur financier.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IA à Fort Impact &amp; Résilience Agro-Climatique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 : Accélération de la préparation de données fiables et audit de conformité ét</w:t>
            </w:r>
            <w:r>
              <w:rPr>
                <w:color w:val="334155"/>
                <w:sz w:val="15"/>
              </w:rPr>
              <w:t>hique pour projets IA sensibles.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 : Résilience sahélienne réduisant de 35% les échecs de semis et alertant 14 jours avant les flambées épidémiques.</w:t>
            </w:r>
          </w:p>
          <w:p w:rsidR="00AD2D4F" w:rsidRDefault="00DE44F6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PARCOURS PROFESSIONNEL</w:t>
            </w:r>
          </w:p>
          <w:p w:rsidR="00AD2D4F" w:rsidRDefault="00DE44F6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Consul</w:t>
            </w:r>
            <w:r>
              <w:rPr>
                <w:b/>
                <w:color w:val="0A1128"/>
                <w:sz w:val="18"/>
              </w:rPr>
              <w:t>tant IA &amp; Data Science</w:t>
            </w:r>
            <w:r>
              <w:rPr>
                <w:i/>
                <w:color w:val="0284C7"/>
                <w:sz w:val="15"/>
              </w:rPr>
              <w:t xml:space="preserve">   —   Mars 2026 – Présent</w:t>
            </w:r>
          </w:p>
          <w:p w:rsidR="00AD2D4F" w:rsidRDefault="00DE44F6">
            <w:pPr>
              <w:spacing w:after="2"/>
            </w:pPr>
            <w:r>
              <w:rPr>
                <w:b/>
                <w:color w:val="64748B"/>
                <w:sz w:val="15"/>
              </w:rPr>
              <w:t>Projets Indépendants &amp; Entreprises  │  Douala, CM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Conception de systèmes IA souverains éthiques : GraphRAG Neo4j, EDA haute dimension, pipelines RAG multi-sources.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Reporting décisionnel exécutif, dashb</w:t>
            </w:r>
            <w:r>
              <w:rPr>
                <w:color w:val="334155"/>
                <w:sz w:val="15"/>
              </w:rPr>
              <w:t>oards KPI automatisés et audit explicabilité SHAP pour PME camerounaises.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  <w:sz w:val="15"/>
              </w:rPr>
              <w:t xml:space="preserve">   —   2018 – Présent</w:t>
            </w:r>
          </w:p>
          <w:p w:rsidR="00AD2D4F" w:rsidRDefault="00DE44F6">
            <w:pPr>
              <w:spacing w:after="2"/>
            </w:pPr>
            <w:r>
              <w:rPr>
                <w:b/>
                <w:color w:val="64748B"/>
                <w:sz w:val="15"/>
              </w:rPr>
              <w:t>CCAA — Autorité Aéronautique du Cameroun  │  Douala, CM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Évaluation des menaces, contrôle d'accès sécurisé, conformité </w:t>
            </w:r>
            <w:r>
              <w:rPr>
                <w:color w:val="334155"/>
                <w:sz w:val="15"/>
              </w:rPr>
              <w:t>réglementaire ICAO Annex 17.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Gestion de crises opérationnelles : coordination d'équipes en situation d'urgence, protocoles anti-intrusion.</w:t>
            </w:r>
          </w:p>
          <w:p w:rsidR="00AD2D4F" w:rsidRDefault="00DE44F6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FORMATION ACADÉMIQUE</w:t>
            </w:r>
          </w:p>
          <w:p w:rsidR="00AD2D4F" w:rsidRDefault="00DE44F6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Master Professionnel — Inte</w:t>
            </w:r>
            <w:r>
              <w:rPr>
                <w:b/>
                <w:color w:val="0A1128"/>
                <w:sz w:val="18"/>
              </w:rPr>
              <w:t>lligence Artificielle Appliquée</w:t>
            </w:r>
            <w:r>
              <w:rPr>
                <w:i/>
                <w:color w:val="0284C7"/>
                <w:sz w:val="15"/>
              </w:rPr>
              <w:t xml:space="preserve">   —   Déc. 2025 – 2027  [En cours]</w:t>
            </w:r>
          </w:p>
          <w:p w:rsidR="00AD2D4F" w:rsidRDefault="00DE44F6">
            <w:pPr>
              <w:spacing w:after="2"/>
            </w:pPr>
            <w:r>
              <w:rPr>
                <w:b/>
                <w:color w:val="64748B"/>
                <w:sz w:val="15"/>
              </w:rPr>
              <w:t>Université de Ngaoundéré  │  Cameroun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Stats Bayésienne, Data Engineering Neo4j, Vision &amp; Robotique, Éthique &amp; Cybersécurité, MLOps Souverains.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Projet de recherche : système </w:t>
            </w:r>
            <w:r>
              <w:rPr>
                <w:color w:val="334155"/>
                <w:sz w:val="15"/>
              </w:rPr>
              <w:t>K1-MATHINFO v3 — agent multi-sources certifié OKF v0.2 (SHA-256 No-LLM).</w:t>
            </w:r>
          </w:p>
          <w:p w:rsidR="00AD2D4F" w:rsidRDefault="00DE44F6">
            <w:pPr>
              <w:spacing w:before="36" w:after="2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AD2D4F" w:rsidRDefault="00DE44F6">
            <w:pPr>
              <w:spacing w:after="2"/>
            </w:pPr>
            <w:r>
              <w:rPr>
                <w:b/>
                <w:color w:val="64748B"/>
                <w:sz w:val="15"/>
              </w:rPr>
              <w:t>ISTDI / IUC Douala  │  Cameroun</w:t>
            </w:r>
          </w:p>
          <w:p w:rsidR="00AD2D4F" w:rsidRDefault="00DE44F6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Dimensionnement structures (BAEL 91), métrés &amp; gestion de projets BTP — base de l'IA a</w:t>
            </w:r>
            <w:r>
              <w:rPr>
                <w:color w:val="334155"/>
                <w:sz w:val="15"/>
              </w:rPr>
              <w:t>ppliquée à l'estimation.</w:t>
            </w:r>
          </w:p>
          <w:p w:rsidR="00AD2D4F" w:rsidRDefault="00DE44F6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RECONNAISSANCES &amp; DISTINCTIONS</w:t>
            </w:r>
          </w:p>
          <w:p w:rsidR="00AD2D4F" w:rsidRDefault="00DE44F6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AD2D4F" w:rsidRDefault="00DE44F6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Attestation d'Excellence &amp; Intégrité CCAA (2023)</w:t>
            </w:r>
            <w:r>
              <w:rPr>
                <w:color w:val="334155"/>
                <w:sz w:val="15"/>
              </w:rPr>
              <w:t xml:space="preserve">  —  Décernée par le Directeur Général pour performance et déontologie opérationnell</w:t>
            </w:r>
            <w:r>
              <w:rPr>
                <w:color w:val="334155"/>
                <w:sz w:val="15"/>
              </w:rPr>
              <w:t>e.</w:t>
            </w:r>
          </w:p>
          <w:p w:rsidR="00AD2D4F" w:rsidRDefault="00DE44F6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Google Cloud #AllThingsAgentic Hackathon</w:t>
            </w:r>
            <w:r>
              <w:rPr>
                <w:color w:val="334155"/>
                <w:sz w:val="15"/>
              </w:rPr>
              <w:t xml:space="preserve">  —  Dataset Automator v4.0 (Google Antigravity, TabFM, BigQuery DataFrames, WIT).</w:t>
            </w:r>
          </w:p>
          <w:p w:rsidR="00AD2D4F" w:rsidRDefault="00DE44F6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Google Developer Program · AICC Accra</w:t>
            </w:r>
            <w:r>
              <w:rPr>
                <w:color w:val="334155"/>
                <w:sz w:val="15"/>
              </w:rPr>
              <w:t xml:space="preserve">  —  Membre actif · Accra AI Community Centre &amp; Google for Startups Accelerator Network.</w:t>
            </w:r>
          </w:p>
        </w:tc>
      </w:tr>
    </w:tbl>
    <w:p w:rsidR="00AD2D4F" w:rsidRDefault="00AD2D4F">
      <w:pPr>
        <w:spacing w:after="0" w:line="20" w:lineRule="exact"/>
        <w:rPr>
          <w:sz w:val="2"/>
          <w:szCs w:val="2"/>
        </w:rPr>
      </w:pPr>
    </w:p>
    <w:sectPr w:rsidR="00AD2D4F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2D4F"/>
    <w:rsid w:val="00B47730"/>
    <w:rsid w:val="00CB0664"/>
    <w:rsid w:val="00DE44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29AC2FD-64C3-4C23-8A71-C7A481575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5211D0-F368-4EDA-A144-A3F99E6FC2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756</Words>
  <Characters>4419</Characters>
  <Application>Microsoft Office Word</Application>
  <DocSecurity>0</DocSecurity>
  <Lines>110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2026-09-07T17:59:00Z</cp:lastPrinted>
  <dcterms:created xsi:type="dcterms:W3CDTF">2013-12-23T23:15:00Z</dcterms:created>
  <dcterms:modified xsi:type="dcterms:W3CDTF">2026-09-07T17:59:00Z</dcterms:modified>
  <cp:category/>
</cp:coreProperties>
</file>