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D32695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D32695" w:rsidRDefault="00774D64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2695" w:rsidRDefault="00774D64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D32695" w:rsidRDefault="00774D64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Developer Program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Functional basics (tools &amp; doc.)</w:t>
            </w:r>
          </w:p>
          <w:p w:rsidR="00D32695" w:rsidRDefault="00774D64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D32695" w:rsidRDefault="00774D6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D32695" w:rsidRDefault="00774D64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D32695" w:rsidRDefault="00774D64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D32695" w:rsidRDefault="00774D64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D32695" w:rsidRDefault="00774D64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</w:t>
            </w:r>
          </w:p>
          <w:p w:rsidR="00D32695" w:rsidRDefault="00774D6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D32695" w:rsidRDefault="00774D6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32695" w:rsidRDefault="00774D64">
            <w:pPr>
              <w:spacing w:after="30" w:line="264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neuro-symbolic multi-ag</w:t>
            </w:r>
            <w:r>
              <w:rPr>
                <w:color w:val="334155"/>
              </w:rPr>
              <w:t>ent architectures, Neo4j GraphRAG, and sovereign MLOps pipelines. Expert in AI ethics: SHAP transparency, EU AI Act compliance, and deterministic zero-hallucination models. Founder of Archi Cam AI (official Google Africa Applied AI Lab applicant 2026), bri</w:t>
            </w:r>
            <w:r>
              <w:rPr>
                <w:color w:val="334155"/>
              </w:rPr>
              <w:t>dging civil engineering methodology, mathematical rigor, and product vision.</w:t>
            </w:r>
          </w:p>
          <w:p w:rsidR="00D32695" w:rsidRDefault="00774D6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D32695" w:rsidRDefault="00774D6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Official Applicant Google Africa Applied AI </w:t>
            </w:r>
            <w:r>
              <w:rPr>
                <w:color w:val="334155"/>
              </w:rPr>
              <w:t>Lab. Built with Google Antigravity (Gemma 4 12B, Gemini 2.5, BAEL 91).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Imagen 3 + ControlNet.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IfcOpenShell integration for 5D BIM models: automated costing &amp; scheduling v</w:t>
            </w:r>
            <w:r>
              <w:rPr>
                <w:color w:val="334155"/>
              </w:rPr>
              <w:t>ia LangGraph agents.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(critic</w:t>
            </w:r>
            <w:r>
              <w:rPr>
                <w:color w:val="334155"/>
              </w:rPr>
              <w:t xml:space="preserve"> anti-hallucination, Cypher optimizer), RRF k=60, SHA-256 No-LLM (100%).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Interacti</w:t>
            </w:r>
            <w:r>
              <w:rPr>
                <w:color w:val="334155"/>
              </w:rPr>
              <w:t>ve executive dashboards via Streamlit &amp; FastAPI — deployed on sovereign Docker cloud.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TabFM, BigQuery DataFrames, EU</w:t>
            </w:r>
            <w:r>
              <w:rPr>
                <w:color w:val="334155"/>
              </w:rPr>
              <w:t xml:space="preserve"> AI Act.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VigieSahel: –35% crop loss, +14d epidemic forecast (XGBoost R²&gt;94%, Supabase, MLflow).</w:t>
            </w:r>
          </w:p>
          <w:p w:rsidR="00D32695" w:rsidRDefault="00774D6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D32695" w:rsidRDefault="00774D6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March 2026 – Present</w:t>
            </w:r>
          </w:p>
          <w:p w:rsidR="00D32695" w:rsidRDefault="00774D64">
            <w:pPr>
              <w:spacing w:after="4"/>
            </w:pPr>
            <w:r>
              <w:rPr>
                <w:b/>
                <w:color w:val="64748B"/>
              </w:rPr>
              <w:t>Indepe</w:t>
            </w:r>
            <w:r>
              <w:rPr>
                <w:b/>
                <w:color w:val="64748B"/>
              </w:rPr>
              <w:t>ndent Projects &amp; Enterprises  │  Douala, CM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 systems: GraphRAG Neo4j pipelines, high-dimensional EDA, multi-source RAG architectures.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Executive decision reporting, automated KPI dashboards, and SHAP explainability audits for </w:t>
            </w:r>
            <w:r>
              <w:rPr>
                <w:color w:val="334155"/>
              </w:rPr>
              <w:t>African SMEs.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D32695" w:rsidRDefault="00774D64">
            <w:pPr>
              <w:spacing w:after="4"/>
            </w:pPr>
            <w:r>
              <w:rPr>
                <w:b/>
                <w:color w:val="64748B"/>
              </w:rPr>
              <w:t>CCAA — Cameroon Civil Aviation Authority  │  Douala, CM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and regulatory compliance audits (ICAO Annex 17).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Operational crisis management: em</w:t>
            </w:r>
            <w:r>
              <w:rPr>
                <w:color w:val="334155"/>
              </w:rPr>
              <w:t>ergency team coordination, anti-intrusion protocols.</w:t>
            </w:r>
          </w:p>
          <w:p w:rsidR="00D32695" w:rsidRDefault="00774D6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D32695" w:rsidRDefault="00774D6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Dec. 2025 – 2027  [In Progress]</w:t>
            </w:r>
          </w:p>
          <w:p w:rsidR="00D32695" w:rsidRDefault="00774D64">
            <w:pPr>
              <w:spacing w:after="4"/>
            </w:pPr>
            <w:r>
              <w:rPr>
                <w:b/>
                <w:color w:val="64748B"/>
              </w:rPr>
              <w:t xml:space="preserve">University of Ngaoundéré  │  </w:t>
            </w:r>
            <w:r>
              <w:rPr>
                <w:b/>
                <w:color w:val="64748B"/>
              </w:rPr>
              <w:t>Cameroon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Bayesian Statistics, Data Engineering &amp; Neo4j, Computer Vision &amp; Robotics, Ethics &amp; Cybersecurity, Production MLOps.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Research project: K1-MATHINFO v3 sovereign system — multi-source agent certified OKF v0.2 (SHA-256 No-LLM).</w:t>
            </w:r>
          </w:p>
          <w:p w:rsidR="00D32695" w:rsidRDefault="00774D6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B.Sc. in Ci</w:t>
            </w:r>
            <w:r>
              <w:rPr>
                <w:b/>
                <w:color w:val="0A1128"/>
                <w:sz w:val="18"/>
              </w:rPr>
              <w:t>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D32695" w:rsidRDefault="00774D64">
            <w:pPr>
              <w:spacing w:after="4"/>
            </w:pPr>
            <w:r>
              <w:rPr>
                <w:b/>
                <w:color w:val="64748B"/>
              </w:rPr>
              <w:t>ISTDI / IUC Douala  │  Cameroon</w:t>
            </w:r>
          </w:p>
          <w:p w:rsidR="00D32695" w:rsidRDefault="00774D6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Structural calculations (BAEL 91), quantity surveying, construction project management — AI-applied estimation base.</w:t>
            </w:r>
          </w:p>
          <w:p w:rsidR="00D32695" w:rsidRDefault="00774D6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D32695" w:rsidRDefault="00774D6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</w:t>
            </w:r>
            <w:r>
              <w:rPr>
                <w:color w:val="0284C7"/>
                <w:sz w:val="9"/>
              </w:rPr>
              <w:t>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D32695" w:rsidRDefault="00774D6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Africa Applied AI Lab (Accra, 2026)</w:t>
            </w:r>
            <w:r>
              <w:rPr>
                <w:color w:val="334155"/>
              </w:rPr>
              <w:t xml:space="preserve">  —  Official candidacy — Archi Cam AI platform (5D BIM + GenAI).</w:t>
            </w:r>
          </w:p>
          <w:p w:rsidR="00D32695" w:rsidRDefault="00774D6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(Google Antigravity, TabFM, B</w:t>
            </w:r>
            <w:r>
              <w:rPr>
                <w:color w:val="334155"/>
              </w:rPr>
              <w:t>igQuery DataFrames, WIT).</w:t>
            </w:r>
          </w:p>
          <w:p w:rsidR="00D32695" w:rsidRDefault="00774D6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Devpost</w:t>
            </w:r>
            <w:r>
              <w:rPr>
                <w:color w:val="334155"/>
              </w:rPr>
              <w:t xml:space="preserve">  —  Active member — AI open-source contributions, hackathons &amp; ambassador track.</w:t>
            </w:r>
          </w:p>
        </w:tc>
      </w:tr>
    </w:tbl>
    <w:p w:rsidR="00D32695" w:rsidRDefault="00D32695">
      <w:pPr>
        <w:spacing w:after="0" w:line="20" w:lineRule="exact"/>
        <w:rPr>
          <w:sz w:val="2"/>
          <w:szCs w:val="2"/>
        </w:rPr>
      </w:pPr>
    </w:p>
    <w:sectPr w:rsidR="00D32695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4D64"/>
    <w:rsid w:val="00AA1D8D"/>
    <w:rsid w:val="00B47730"/>
    <w:rsid w:val="00CB0664"/>
    <w:rsid w:val="00D326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F346F34-A99B-4A98-A681-47897A797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481F7C-ECFB-4116-8870-65230CEB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729</Words>
  <Characters>4343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5151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2026-09-04T09:55:00Z</cp:lastPrinted>
  <dcterms:created xsi:type="dcterms:W3CDTF">2013-12-23T23:15:00Z</dcterms:created>
  <dcterms:modified xsi:type="dcterms:W3CDTF">2026-09-04T09:55:00Z</dcterms:modified>
  <cp:category/>
</cp:coreProperties>
</file>