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Ind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14"/>
        <w:gridCol w:w="4514"/>
      </w:tblGrid>
      <w:tr>
        <w:trPr>
          <w:cantSplit/>
          <w:trHeight w:val="16550" w:hRule="atLeast"/>
        </w:trPr>
        <w:tc>
          <w:tcPr>
            <w:tcW w:type="dxa" w:w="3773"/>
            <w:shd w:fill="0F172A"/>
            <w:tcMar>
              <w:top w:w="140" w:type="dxa"/>
              <w:left w:w="400" w:type="dxa"/>
              <w:bottom w:w="0" w:type="dxa"/>
              <w:right w:w="16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53312" cy="13533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_headshot_circular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3312" cy="1353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 w:after="30"/>
              <w:jc w:val="center"/>
            </w:pPr>
            <w:r>
              <w:rPr>
                <w:rFonts w:ascii="Segoe UI" w:hAnsi="Segoe UI"/>
                <w:b/>
                <w:color w:val="38BDF8"/>
                <w:sz w:val="14"/>
              </w:rPr>
              <w:t>Fondateur  ·  Archi Cam AI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CONTACT &amp; PROFILS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✉  contact@archicam-ai.com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✆  +237 695 35 34 02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⌂  Douala / Ngaoundéré, CM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🐙  github.com/gervais-afk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✍  dev.to/gervais_marie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💼  linkedin.com/in/marie-gervais-koa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IA &amp; LLM STACK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Antigravity IDE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LangGraph &amp; CrewAI 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Gemma 4 (12B)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Gemini 2.5 / 1.5 Pro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Google TabFM (Tabular)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FastMCP &amp; Genkit   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Neo4j GraphRAG — Agent K1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DATA &amp; GRAPHES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Neo4j / Cypher Graph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PostgreSQL / pgvector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Apache AGE &amp; DuckDB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BigQuery DataFrames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Pandas / NumPy ETL      ■ ■ ■ ■ ■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DEV &amp; MLOPS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Python 3.11+ / MLOps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FastAPI / Next.js 14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MLflow &amp; Data Drift   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SHAP Sentinel Audit     ■ ■ ■ ■ ■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IfcOpenShell &amp; Shapely  ■ ■ ■ ■ □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Docker &amp; Pytest         ■ ■ ■ ■ ■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ÉTHIQUE, SÛRETÉ &amp; AUDIT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Attestation Excellence CCAA '23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Agent AVSEC (Annexe 17 OACI)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Éthique IA &amp; Anti-Hallucination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OKF v0.2 SHA-256 No-LLM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◈ Conformité EU AI Act (RSASSA)</w:t>
            </w:r>
          </w:p>
          <w:p>
            <w:pPr>
              <w:spacing w:before="184" w:after="0"/>
              <w:ind w:left="100"/>
            </w:pPr>
            <w:r>
              <w:rPr>
                <w:rFonts w:ascii="Segoe UI" w:hAnsi="Segoe UI"/>
                <w:b/>
                <w:color w:val="38BDF8"/>
                <w:sz w:val="18"/>
              </w:rPr>
              <w:t>LANGUES</w:t>
            </w:r>
          </w:p>
          <w:p>
            <w:pPr>
              <w:spacing w:before="4" w:after="36"/>
              <w:ind w:left="100"/>
            </w:pPr>
            <w:r>
              <w:rPr>
                <w:color w:val="0284C7"/>
                <w:sz w:val="9"/>
              </w:rPr>
              <w:t>━━━━━━━━━━━━━━━━━━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Français  —  Courant / Natif</w:t>
            </w:r>
          </w:p>
          <w:p>
            <w:pPr>
              <w:spacing w:before="0" w:after="50" w:line="259" w:lineRule="auto"/>
              <w:ind w:left="100"/>
            </w:pPr>
            <w:r>
              <w:rPr>
                <w:color w:val="F8FAFC"/>
                <w:sz w:val="16"/>
              </w:rPr>
              <w:t>Anglais   —  Tech. &amp; Écrit / Oral Interm.</w:t>
            </w:r>
          </w:p>
        </w:tc>
        <w:tc>
          <w:tcPr>
            <w:tcW w:type="dxa" w:w="8136"/>
            <w:shd w:fill="FFFFFF"/>
            <w:tcMar>
              <w:top w:w="140" w:type="dxa"/>
              <w:left w:w="180" w:type="dxa"/>
              <w:bottom w:w="0" w:type="dxa"/>
              <w:right w:w="190" w:type="dxa"/>
            </w:tcMar>
          </w:tcPr>
          <w:p>
            <w:pPr>
              <w:spacing w:before="0" w:after="8"/>
            </w:pPr>
            <w:r>
              <w:rPr>
                <w:rFonts w:ascii="Segoe UI" w:hAnsi="Segoe UI"/>
                <w:b/>
                <w:color w:val="0A1128"/>
                <w:sz w:val="41"/>
              </w:rPr>
              <w:t>KOA MARIE GERVAIS NELLY</w:t>
            </w:r>
          </w:p>
          <w:p>
            <w:pPr>
              <w:spacing w:before="0" w:after="12"/>
            </w:pPr>
            <w:r>
              <w:rPr>
                <w:b/>
                <w:color w:val="0284C7"/>
                <w:sz w:val="18"/>
              </w:rPr>
              <w:t>Architecte Systèmes IA &amp; Ingénieur Données   │   Fondateur @ Archi Cam AI</w:t>
            </w:r>
          </w:p>
          <w:p>
            <w:pPr>
              <w:spacing w:before="0" w:after="30"/>
            </w:pPr>
            <w:r>
              <w:rPr>
                <w:color w:val="0284C7"/>
                <w:sz w:val="10"/>
              </w:rPr>
              <w:t>──────────────────────────────────────────────────────────────────────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RÉSUMÉ PROFESSIONNEL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8" w:after="20" w:line="252" w:lineRule="auto"/>
            </w:pPr>
            <w:r>
              <w:rPr>
                <w:color w:val="334155"/>
                <w:sz w:val="17"/>
              </w:rPr>
              <w:t>Architecte Systèmes IA &amp; Ingénieur Données, je conçois et déploie des architectures d'agents autonomes neuro-symboliques, des graphes de connaissances (Neo4j GraphRAG) et des pipelines MLOps souverains en production critique. Spécialiste des systèmes déterministes à zéro hallucination et de la confiance algorithmique vérifiable. Fondateur d'Archi Cam AI (BIM 5D), j'articule rigueur du génie civil et ingénierie logicielle pour des solutions à fort impact.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PROJETS IA MAJEURS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Archi Cam AI</w:t>
            </w:r>
            <w:r>
              <w:rPr>
                <w:i/>
                <w:color w:val="0284C7"/>
                <w:sz w:val="16"/>
              </w:rPr>
              <w:t xml:space="preserve">   —   SaaS IA &amp; Chiffrage BIM 5D pour le BTP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Automatisation intégrale du chiffrage et métrés gros œuvre : élimine les erreurs d'estimation et le surcoût de matériaux.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Génération instantanée de devis normés (DQE) en moins de 45s (gain de 99,2% de temps) et projections visuelles 3D.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Calculs de structures béton armé déterministes zéro-hallucination conformes aux règles d'urbanisme.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K1-MATHINFO (v3.2.0)</w:t>
            </w:r>
            <w:r>
              <w:rPr>
                <w:i/>
                <w:color w:val="0284C7"/>
                <w:sz w:val="16"/>
              </w:rPr>
              <w:t xml:space="preserve">   —   Valorisation &amp; Recherche Académique Souveraine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GraphRAG sur 30 ans d'archives (471 thèses DMI, 4 494 relations Neo4j), routage LatentGate (5,2 ms) et vCache (0% FP).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WRRF tri-moteur (P@5=96,4%), inférence S-GRPO, certification OKF v0.2 SHA-256 No-LLM, 192 tests (100%) et article Dev.to.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Sovereign.BI Agentic</w:t>
            </w:r>
            <w:r>
              <w:rPr>
                <w:i/>
                <w:color w:val="0284C7"/>
                <w:sz w:val="16"/>
              </w:rPr>
              <w:t xml:space="preserve">   —   Pilotage Stratégique &amp; Décisionnel d'Entreprise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Démocratisation de l'aide à la décision : interrogation des entrepôts de données en langage naturel en moins de 5s.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Étanchéité souveraine absolue en réseau fermé (zéro fuite) et audit mathématique de causalité de chaque KPI.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Dataset Automator &amp; VigieSahel</w:t>
            </w:r>
            <w:r>
              <w:rPr>
                <w:i/>
                <w:color w:val="0284C7"/>
                <w:sz w:val="16"/>
              </w:rPr>
              <w:t xml:space="preserve">   —   IA à Fort Impact &amp; Résilience Agro-Climatique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Dataset Automator : Usine MLOps autonome (TabFM, PAIR WIT, scellés EU AI Act RSASSA-PSS) et publication Dev.to.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VigieSahel : Résilience sahélienne réduisant de 35% les échecs de semis et alertant 14 jours avant les flambées.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PARCOURS PROFESSIONNEL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Consultant IA &amp; Data Science</w:t>
            </w:r>
            <w:r>
              <w:rPr>
                <w:i/>
                <w:color w:val="0284C7"/>
                <w:sz w:val="16"/>
              </w:rPr>
              <w:t xml:space="preserve">   —   Mars 2026 – Présent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Projets Indépendants &amp; Entreprises  │  Douala, CM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Systèmes IA souverains éthiques : pipelines GraphRAG Neo4j, EDA haute dimension, architectures RAG multi-sources.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Reporting exécutif, dashboards KPI automatisés et audits d'explicabilité SHAP pour PME.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Agent de Sûreté Aéroportuaire (AVSEC)</w:t>
            </w:r>
            <w:r>
              <w:rPr>
                <w:i/>
                <w:color w:val="0284C7"/>
                <w:sz w:val="16"/>
              </w:rPr>
              <w:t xml:space="preserve">   —   2018 – Présent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CCAA — Autorité Aéronautique du Cameroun  │  Douala, CM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Évaluation des menaces, contrôle strict des accès sécurisés, conformité réglementaire ICAO Annexe 17.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Gestion de crises opérationnelles : coordination d'équipes en situation d'urgence, protocoles anti-intrusion.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FORMATION ACADÉMIQUE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Master Pro. — Intelligence Artificielle Appliquée</w:t>
            </w:r>
            <w:r>
              <w:rPr>
                <w:i/>
                <w:color w:val="0284C7"/>
                <w:sz w:val="16"/>
              </w:rPr>
              <w:t xml:space="preserve">   —   Déc. 2025 – 2027  [En cours]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Université de Ngaoundéré  │  Cameroun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ML &amp; Stats Bayésienne, Data Engineering Neo4j, Vision &amp; Robotique, Éthique &amp; Cybersécurité, MLOps Souverains.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Projet de recherche : système K1-MATHINFO v3.2 — agent multi-sources certifié OKF v0.2 (SHA-256 No-LLM, 192 tests).</w:t>
            </w:r>
          </w:p>
          <w:p>
            <w:pPr>
              <w:spacing w:before="32" w:after="2"/>
            </w:pPr>
            <w:r>
              <w:rPr>
                <w:b/>
                <w:color w:val="0A1128"/>
                <w:sz w:val="18"/>
              </w:rPr>
              <w:t>Licence &amp; BTS Génie Civil (Option Bâtiment)</w:t>
            </w:r>
            <w:r>
              <w:rPr>
                <w:i/>
                <w:color w:val="0284C7"/>
                <w:sz w:val="16"/>
              </w:rPr>
              <w:t xml:space="preserve">   —   2015 – 2016</w:t>
            </w:r>
          </w:p>
          <w:p>
            <w:pPr>
              <w:spacing w:before="0" w:after="2"/>
            </w:pPr>
            <w:r>
              <w:rPr>
                <w:i/>
                <w:color w:val="64748B"/>
                <w:sz w:val="16"/>
              </w:rPr>
              <w:t>ISTDI / IUC Douala  │  Cameroun</w:t>
            </w:r>
          </w:p>
          <w:p>
            <w:pPr>
              <w:spacing w:before="0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▸  </w:t>
            </w:r>
            <w:r>
              <w:rPr>
                <w:color w:val="334155"/>
                <w:sz w:val="16"/>
              </w:rPr>
              <w:t>Dimensionnement structures (BAEL 91), métrés et gestion de projets BTP — base de l'IA appliquée au BTP.</w:t>
            </w:r>
          </w:p>
          <w:p>
            <w:pPr>
              <w:spacing w:before="44" w:after="2"/>
            </w:pPr>
            <w:r>
              <w:rPr>
                <w:b/>
                <w:color w:val="0284C7"/>
                <w:sz w:val="16"/>
              </w:rPr>
              <w:t xml:space="preserve">◈  </w:t>
            </w:r>
            <w:r>
              <w:rPr>
                <w:rFonts w:ascii="Segoe UI" w:hAnsi="Segoe UI"/>
                <w:b/>
                <w:color w:val="0A1128"/>
                <w:sz w:val="19"/>
              </w:rPr>
              <w:t>RECONNAISSANCES &amp; DISTINCTIONS</w:t>
            </w:r>
          </w:p>
          <w:p>
            <w:pPr>
              <w:spacing w:before="0" w:after="20"/>
            </w:pPr>
            <w:r>
              <w:rPr>
                <w:color w:val="0284C7"/>
                <w:sz w:val="9"/>
              </w:rPr>
              <w:t>━━━━━━━━━━━━━━━━━━</w:t>
            </w:r>
            <w:r>
              <w:rPr>
                <w:color w:val="38BDF8"/>
                <w:sz w:val="8"/>
              </w:rPr>
              <w:t>────────────────────────────────────────────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Attestation d'Excellence &amp; Intégrité CCAA (2023)  —  </w:t>
            </w:r>
            <w:r>
              <w:rPr>
                <w:rFonts w:ascii="Segoe UI" w:hAnsi="Segoe UI"/>
                <w:color w:val="334155"/>
                <w:sz w:val="16"/>
              </w:rPr>
              <w:t>Décernée par le Directeur Général pour performance et déontologie opérationnelle.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Publications Techniques DEV Community (2026)  —  </w:t>
            </w:r>
            <w:r>
              <w:rPr>
                <w:rFonts w:ascii="Segoe UI" w:hAnsi="Segoe UI"/>
                <w:color w:val="334155"/>
                <w:sz w:val="16"/>
              </w:rPr>
              <w:t>Auteur d'articles deep-dive : Zero-Hallucination GraphRAG &amp; Dataset Automator MLOps.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Google Cloud #AllThingsAgentic Hackathon  —  </w:t>
            </w:r>
            <w:r>
              <w:rPr>
                <w:rFonts w:ascii="Segoe UI" w:hAnsi="Segoe UI"/>
                <w:color w:val="334155"/>
                <w:sz w:val="16"/>
              </w:rPr>
              <w:t>Dataset Automator v4.0 (Google Antigravity, TabFM, BigQuery DataFrames, WIT).</w:t>
            </w:r>
          </w:p>
          <w:p>
            <w:pPr>
              <w:spacing w:before="24" w:after="8" w:line="252" w:lineRule="auto"/>
              <w:ind w:left="200"/>
            </w:pPr>
            <w:r>
              <w:rPr>
                <w:b/>
                <w:color w:val="0284C7"/>
                <w:sz w:val="15"/>
              </w:rPr>
              <w:t xml:space="preserve">◆  </w:t>
            </w:r>
            <w:r>
              <w:rPr>
                <w:rFonts w:ascii="Segoe UI" w:hAnsi="Segoe UI"/>
                <w:b/>
                <w:color w:val="0A1128"/>
                <w:sz w:val="16"/>
              </w:rPr>
              <w:t xml:space="preserve">AICC Accra &amp; Écosystème Startups  —  </w:t>
            </w:r>
            <w:r>
              <w:rPr>
                <w:rFonts w:ascii="Segoe UI" w:hAnsi="Segoe UI"/>
                <w:color w:val="334155"/>
                <w:sz w:val="16"/>
              </w:rPr>
              <w:t>Membre actif · Accra AI Community Centre &amp; Google for Startups Accelerator Network.</w:t>
            </w:r>
          </w:p>
        </w:tc>
      </w:tr>
    </w:tbl>
    <w:p>
      <w:pPr>
        <w:spacing w:before="0" w:after="0" w:line="20" w:lineRule="exact"/>
        <w:spacing w:before="0" w:after="0" w:line="20" w:lineRule="exact"/>
        <w:rPr>
          <w:sz w:val="2"/>
          <w:szCs w:val="2"/>
        </w:rPr>
      </w:pPr>
      <w:r>
        <w:rPr>
          <w:sz w:val="2"/>
        </w:rPr>
      </w:r>
    </w:p>
    <w:sectPr w:rsidR="00FC693F" w:rsidRPr="0006063C" w:rsidSect="00034616">
      <w:pgSz w:w="11909" w:h="16834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