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760"/>
        <w:gridCol w:w="5760"/>
      </w:tblGrid>
      <w:tr>
        <w:tc>
          <w:tcPr>
            <w:tcW w:type="dxa" w:w="3384"/>
            <w:shd w:fill="0F172A"/>
            <w:tcMar>
              <w:top w:w="90" w:type="dxa"/>
              <w:bottom w:w="90" w:type="dxa"/>
              <w:left w:w="110" w:type="dxa"/>
              <w:right w:w="90" w:type="dxa"/>
            </w:tcMar>
          </w:tcPr>
          <w:p/>
          <w:tbl>
            <w:tblPr>
              <w:tblW w:type="auto" w:w="0"/>
              <w:jc w:val="center"/>
              <w:tblLook w:firstColumn="1" w:firstRow="1" w:lastColumn="0" w:lastRow="0" w:noHBand="0" w:noVBand="1" w:val="04A0"/>
            </w:tblPr>
            <w:tblGrid>
              <w:gridCol w:w="3384"/>
            </w:tblGrid>
            <w:tr>
              <w:tc>
                <w:tcPr>
                  <w:tcW w:type="dxa" w:w="1944"/>
                  <w:shd w:fill="1E293B"/>
                  <w:tcMar>
                    <w:top w:w="35" w:type="dxa"/>
                    <w:bottom w:w="35" w:type="dxa"/>
                    <w:left w:w="35" w:type="dxa"/>
                    <w:right w:w="35" w:type="dxa"/>
                  </w:tcMar>
                </w:tcPr>
                <w:p>
                  <w:pPr>
                    <w:spacing w:before="0" w:after="0"/>
                    <w:jc w:val="center"/>
                  </w:pPr>
                  <w:r>
                    <w:drawing>
                      <wp:inline xmlns:a="http://schemas.openxmlformats.org/drawingml/2006/main" xmlns:pic="http://schemas.openxmlformats.org/drawingml/2006/picture">
                        <wp:extent cx="1143000" cy="1143000"/>
                        <wp:docPr id="1" name="Picture 1"/>
                        <wp:cNvGraphicFramePr>
                          <a:graphicFrameLocks noChangeAspect="1"/>
                        </wp:cNvGraphicFramePr>
                        <a:graphic>
                          <a:graphicData uri="http://schemas.openxmlformats.org/drawingml/2006/picture">
                            <pic:pic>
                              <pic:nvPicPr>
                                <pic:cNvPr id="0" name="profile_headshot_circular.jpeg"/>
                                <pic:cNvPicPr/>
                              </pic:nvPicPr>
                              <pic:blipFill>
                                <a:blip r:embed="rId9"/>
                                <a:stretch>
                                  <a:fillRect/>
                                </a:stretch>
                              </pic:blipFill>
                              <pic:spPr>
                                <a:xfrm>
                                  <a:off x="0" y="0"/>
                                  <a:ext cx="1143000" cy="1143000"/>
                                </a:xfrm>
                                <a:prstGeom prst="rect"/>
                              </pic:spPr>
                            </pic:pic>
                          </a:graphicData>
                        </a:graphic>
                      </wp:inline>
                    </w:drawing>
                  </w:r>
                </w:p>
              </w:tc>
            </w:tr>
          </w:tbl>
          <w:p/>
          <w:p>
            <w:pPr>
              <w:spacing w:before="130" w:after="30"/>
            </w:pPr>
            <w:r>
              <w:rPr>
                <w:rFonts w:ascii="Segoe UI Semibold" w:hAnsi="Segoe UI Semibold"/>
                <w:b/>
                <w:color w:val="38BDF8"/>
                <w:sz w:val="16"/>
              </w:rPr>
              <w:t>CONTACT</w:t>
            </w:r>
          </w:p>
          <w:p>
            <w:pPr>
              <w:spacing w:before="0" w:after="24" w:line="252" w:lineRule="auto"/>
            </w:pPr>
            <w:r>
              <w:rPr>
                <w:color w:val="F8FAFC"/>
                <w:sz w:val="14"/>
              </w:rPr>
              <w:t>✉  magenel85@gmail.com</w:t>
            </w:r>
          </w:p>
          <w:p>
            <w:pPr>
              <w:spacing w:before="0" w:after="24" w:line="252" w:lineRule="auto"/>
            </w:pPr>
            <w:r>
              <w:rPr>
                <w:color w:val="F8FAFC"/>
                <w:sz w:val="14"/>
              </w:rPr>
              <w:t>✆  +237 695 35 34 02</w:t>
            </w:r>
          </w:p>
          <w:p>
            <w:pPr>
              <w:spacing w:before="0" w:after="24" w:line="252" w:lineRule="auto"/>
            </w:pPr>
            <w:r>
              <w:rPr>
                <w:color w:val="F8FAFC"/>
                <w:sz w:val="14"/>
              </w:rPr>
              <w:t>⌂  Douala / Ngaoundéré, CM</w:t>
            </w:r>
          </w:p>
          <w:p>
            <w:pPr>
              <w:spacing w:before="0" w:after="24" w:line="252" w:lineRule="auto"/>
            </w:pPr>
            <w:r>
              <w:rPr>
                <w:color w:val="F8FAFC"/>
                <w:sz w:val="14"/>
              </w:rPr>
              <w:t>🌐  github.com/gervais-afk</w:t>
            </w:r>
          </w:p>
          <w:p>
            <w:pPr>
              <w:spacing w:before="0" w:after="24" w:line="252" w:lineRule="auto"/>
            </w:pPr>
            <w:r>
              <w:rPr>
                <w:color w:val="F8FAFC"/>
                <w:sz w:val="14"/>
              </w:rPr>
              <w:t>💼  linkedin.com/in/marie-gervais-koa</w:t>
            </w:r>
          </w:p>
          <w:p>
            <w:pPr>
              <w:spacing w:before="130" w:after="30"/>
            </w:pPr>
            <w:r>
              <w:rPr>
                <w:rFonts w:ascii="Segoe UI Semibold" w:hAnsi="Segoe UI Semibold"/>
                <w:b/>
                <w:color w:val="38BDF8"/>
                <w:sz w:val="16"/>
              </w:rPr>
              <w:t>IA &amp; LLM</w:t>
            </w:r>
          </w:p>
          <w:p>
            <w:pPr>
              <w:spacing w:before="0" w:after="24" w:line="252" w:lineRule="auto"/>
            </w:pPr>
            <w:r>
              <w:rPr>
                <w:color w:val="F8FAFC"/>
                <w:sz w:val="14"/>
              </w:rPr>
              <w:t>Google Gemma 4   ■ ■ ■ ■ ■</w:t>
            </w:r>
          </w:p>
          <w:p>
            <w:pPr>
              <w:spacing w:before="0" w:after="24" w:line="252" w:lineRule="auto"/>
            </w:pPr>
            <w:r>
              <w:rPr>
                <w:color w:val="F8FAFC"/>
                <w:sz w:val="14"/>
              </w:rPr>
              <w:t>Gemini 1.5 Pro   ■ ■ ■ ■ ■</w:t>
            </w:r>
          </w:p>
          <w:p>
            <w:pPr>
              <w:spacing w:before="0" w:after="24" w:line="252" w:lineRule="auto"/>
            </w:pPr>
            <w:r>
              <w:rPr>
                <w:color w:val="F8FAFC"/>
                <w:sz w:val="14"/>
              </w:rPr>
              <w:t>CrewAI/LangGraph ■ ■ ■ ■ ■</w:t>
            </w:r>
          </w:p>
          <w:p>
            <w:pPr>
              <w:spacing w:before="0" w:after="24" w:line="252" w:lineRule="auto"/>
            </w:pPr>
            <w:r>
              <w:rPr>
                <w:color w:val="F8FAFC"/>
                <w:sz w:val="14"/>
              </w:rPr>
              <w:t>Firebase Genkit  ■ ■ ■ ■ ■</w:t>
            </w:r>
          </w:p>
          <w:p>
            <w:pPr>
              <w:spacing w:before="0" w:after="24" w:line="252" w:lineRule="auto"/>
            </w:pPr>
            <w:r>
              <w:rPr>
                <w:color w:val="F8FAFC"/>
                <w:sz w:val="14"/>
              </w:rPr>
              <w:t>RAG / GraphRAG   ■ ■ ■ ■ ■</w:t>
            </w:r>
          </w:p>
          <w:p>
            <w:pPr>
              <w:spacing w:before="130" w:after="30"/>
            </w:pPr>
            <w:r>
              <w:rPr>
                <w:rFonts w:ascii="Segoe UI Semibold" w:hAnsi="Segoe UI Semibold"/>
                <w:b/>
                <w:color w:val="38BDF8"/>
                <w:sz w:val="16"/>
              </w:rPr>
              <w:t>DATA &amp; GRAPHES</w:t>
            </w:r>
          </w:p>
          <w:p>
            <w:pPr>
              <w:spacing w:before="0" w:after="24" w:line="252" w:lineRule="auto"/>
            </w:pPr>
            <w:r>
              <w:rPr>
                <w:color w:val="F8FAFC"/>
                <w:sz w:val="14"/>
              </w:rPr>
              <w:t>Neo4j / Cypher      ■ ■ ■ ■ ■</w:t>
            </w:r>
          </w:p>
          <w:p>
            <w:pPr>
              <w:spacing w:before="0" w:after="24" w:line="252" w:lineRule="auto"/>
            </w:pPr>
            <w:r>
              <w:rPr>
                <w:color w:val="F8FAFC"/>
                <w:sz w:val="14"/>
              </w:rPr>
              <w:t>PostgreSQL / SQL    ■ ■ ■ ■ ■</w:t>
            </w:r>
          </w:p>
          <w:p>
            <w:pPr>
              <w:spacing w:before="0" w:after="24" w:line="252" w:lineRule="auto"/>
            </w:pPr>
            <w:r>
              <w:rPr>
                <w:color w:val="F8FAFC"/>
                <w:sz w:val="14"/>
              </w:rPr>
              <w:t>Supabase           ■ ■ ■ ■ □</w:t>
            </w:r>
          </w:p>
          <w:p>
            <w:pPr>
              <w:spacing w:before="0" w:after="24" w:line="252" w:lineRule="auto"/>
            </w:pPr>
            <w:r>
              <w:rPr>
                <w:color w:val="F8FAFC"/>
                <w:sz w:val="14"/>
              </w:rPr>
              <w:t>Firebase Emulator  ■ ■ ■ ■ □</w:t>
            </w:r>
          </w:p>
          <w:p>
            <w:pPr>
              <w:spacing w:before="0" w:after="24" w:line="252" w:lineRule="auto"/>
            </w:pPr>
            <w:r>
              <w:rPr>
                <w:color w:val="F8FAFC"/>
                <w:sz w:val="14"/>
              </w:rPr>
              <w:t>Pandas / NumPy     ■ ■ ■ ■ ■</w:t>
            </w:r>
          </w:p>
          <w:p>
            <w:pPr>
              <w:spacing w:before="130" w:after="30"/>
            </w:pPr>
            <w:r>
              <w:rPr>
                <w:rFonts w:ascii="Segoe UI Semibold" w:hAnsi="Segoe UI Semibold"/>
                <w:b/>
                <w:color w:val="38BDF8"/>
                <w:sz w:val="16"/>
              </w:rPr>
              <w:t>DEV &amp; MLOPS</w:t>
            </w:r>
          </w:p>
          <w:p>
            <w:pPr>
              <w:spacing w:before="0" w:after="24" w:line="252" w:lineRule="auto"/>
            </w:pPr>
            <w:r>
              <w:rPr>
                <w:color w:val="F8FAFC"/>
                <w:sz w:val="14"/>
              </w:rPr>
              <w:t>Python (BAEL 91)   ■ ■ ■ ■ ■</w:t>
            </w:r>
          </w:p>
          <w:p>
            <w:pPr>
              <w:spacing w:before="0" w:after="24" w:line="252" w:lineRule="auto"/>
            </w:pPr>
            <w:r>
              <w:rPr>
                <w:color w:val="F8FAFC"/>
                <w:sz w:val="14"/>
              </w:rPr>
              <w:t>IfcOpenShell (5D)  ■ ■ ■ ■ □</w:t>
            </w:r>
          </w:p>
          <w:p>
            <w:pPr>
              <w:spacing w:before="0" w:after="24" w:line="252" w:lineRule="auto"/>
            </w:pPr>
            <w:r>
              <w:rPr>
                <w:color w:val="F8FAFC"/>
                <w:sz w:val="14"/>
              </w:rPr>
              <w:t>FastAPI / Next.js  ■ ■ ■ ■ □</w:t>
            </w:r>
          </w:p>
          <w:p>
            <w:pPr>
              <w:spacing w:before="0" w:after="24" w:line="252" w:lineRule="auto"/>
            </w:pPr>
            <w:r>
              <w:rPr>
                <w:color w:val="F8FAFC"/>
                <w:sz w:val="14"/>
              </w:rPr>
              <w:t>MLflow (MLOps)     ■ ■ ■ ■ □</w:t>
            </w:r>
          </w:p>
          <w:p>
            <w:pPr>
              <w:spacing w:before="0" w:after="24" w:line="252" w:lineRule="auto"/>
            </w:pPr>
            <w:r>
              <w:rPr>
                <w:color w:val="F8FAFC"/>
                <w:sz w:val="14"/>
              </w:rPr>
              <w:t>Streamlit / Docker ■ ■ ■ ■ ■</w:t>
            </w:r>
          </w:p>
          <w:p>
            <w:pPr>
              <w:spacing w:before="130" w:after="30"/>
            </w:pPr>
            <w:r>
              <w:rPr>
                <w:rFonts w:ascii="Segoe UI Semibold" w:hAnsi="Segoe UI Semibold"/>
                <w:b/>
                <w:color w:val="38BDF8"/>
                <w:sz w:val="16"/>
              </w:rPr>
              <w:t>LANGUES</w:t>
            </w:r>
          </w:p>
          <w:p>
            <w:pPr>
              <w:spacing w:before="0" w:after="24" w:line="252" w:lineRule="auto"/>
            </w:pPr>
            <w:r>
              <w:rPr>
                <w:color w:val="F8FAFC"/>
                <w:sz w:val="14"/>
              </w:rPr>
              <w:t>Français (Courant)</w:t>
            </w:r>
          </w:p>
          <w:p>
            <w:pPr>
              <w:spacing w:before="0" w:after="24" w:line="252" w:lineRule="auto"/>
            </w:pPr>
            <w:r>
              <w:rPr>
                <w:color w:val="F8FAFC"/>
                <w:sz w:val="14"/>
              </w:rPr>
              <w:t>Anglais (Technique / Pro)</w:t>
            </w:r>
          </w:p>
          <w:p>
            <w:pPr>
              <w:spacing w:before="130" w:after="30"/>
            </w:pPr>
            <w:r>
              <w:rPr>
                <w:rFonts w:ascii="Segoe UI Semibold" w:hAnsi="Segoe UI Semibold"/>
                <w:b/>
                <w:color w:val="38BDF8"/>
                <w:sz w:val="16"/>
              </w:rPr>
              <w:t>ATOUTS CLÉS</w:t>
            </w:r>
          </w:p>
          <w:p>
            <w:pPr>
              <w:spacing w:before="0" w:after="24" w:line="252" w:lineRule="auto"/>
            </w:pPr>
            <w:r>
              <w:rPr>
                <w:color w:val="F8FAFC"/>
                <w:sz w:val="14"/>
              </w:rPr>
              <w:t>◈ Double compétence IA &amp; Génie Civil</w:t>
            </w:r>
          </w:p>
          <w:p>
            <w:pPr>
              <w:spacing w:before="0" w:after="24" w:line="252" w:lineRule="auto"/>
            </w:pPr>
            <w:r>
              <w:rPr>
                <w:color w:val="F8FAFC"/>
                <w:sz w:val="14"/>
              </w:rPr>
              <w:t>◈ Sûreté &amp; Gestion risques (AVSEC)</w:t>
            </w:r>
          </w:p>
          <w:p>
            <w:pPr>
              <w:spacing w:before="0" w:after="24" w:line="252" w:lineRule="auto"/>
            </w:pPr>
            <w:r>
              <w:rPr>
                <w:color w:val="F8FAFC"/>
                <w:sz w:val="14"/>
              </w:rPr>
              <w:t>◈ Rigueur de calcul &amp; Guardrails IA</w:t>
            </w:r>
          </w:p>
        </w:tc>
        <w:tc>
          <w:tcPr>
            <w:tcW w:type="dxa" w:w="7704"/>
            <w:shd w:fill="FFFFFF"/>
            <w:tcMar>
              <w:top w:w="90" w:type="dxa"/>
              <w:bottom w:w="90" w:type="dxa"/>
              <w:left w:w="130" w:type="dxa"/>
              <w:right w:w="70" w:type="dxa"/>
            </w:tcMar>
          </w:tcPr>
          <w:p>
            <w:pPr>
              <w:spacing w:before="0" w:after="20"/>
            </w:pPr>
            <w:r>
              <w:rPr>
                <w:rFonts w:ascii="Segoe UI" w:hAnsi="Segoe UI"/>
                <w:b/>
                <w:color w:val="0A1128"/>
                <w:sz w:val="30"/>
              </w:rPr>
              <w:t>KOA MARIE GERVAIS NELLY</w:t>
            </w:r>
          </w:p>
          <w:p>
            <w:pPr>
              <w:spacing w:before="0" w:after="30"/>
            </w:pPr>
            <w:r>
              <w:rPr>
                <w:b/>
                <w:color w:val="0284C7"/>
                <w:sz w:val="16"/>
              </w:rPr>
              <w:t>Lead AI Engineer &amp; Consultant IA / Data   │   Fondateur @ Archi Cam AI</w:t>
            </w:r>
          </w:p>
          <w:p>
            <w:pPr>
              <w:spacing w:before="0" w:after="60"/>
            </w:pPr>
            <w:r>
              <w:rPr>
                <w:color w:val="0284C7"/>
                <w:sz w:val="13"/>
              </w:rPr>
              <w:t>─── ◈ ────────────────────────────────────────────────────────── ◈ ───</w:t>
            </w:r>
          </w:p>
          <w:p>
            <w:pPr>
              <w:spacing w:before="100" w:after="30"/>
            </w:pPr>
            <w:r>
              <w:rPr>
                <w:b/>
                <w:color w:val="0284C7"/>
                <w:sz w:val="16"/>
              </w:rPr>
              <w:t xml:space="preserve">◈  </w:t>
            </w:r>
            <w:r>
              <w:rPr>
                <w:rFonts w:ascii="Segoe UI" w:hAnsi="Segoe UI"/>
                <w:b/>
                <w:color w:val="0A1128"/>
                <w:sz w:val="17"/>
              </w:rPr>
              <w:t>RÉSUMÉ PROFESSIONNEL</w:t>
            </w:r>
          </w:p>
          <w:p>
            <w:pPr>
              <w:spacing w:before="0" w:after="50" w:line="254" w:lineRule="auto"/>
            </w:pPr>
            <w:r>
              <w:rPr>
                <w:color w:val="334155"/>
                <w:sz w:val="15"/>
              </w:rPr>
              <w:t>Consultant IA &amp; Lead AI Engineer, j'accompagne les entreprises dans la transformation de leurs données complexes en leviers décisionnels à forte valeur ajoutée. Spécialiste des Agents autonomes, du GraphRAG et de la Business Intelligence souveraine, je déploie des solutions étanches, déterministes et explicables. Fondateur d'Archi Cam AI (candidat Google Africa Applied AI Lab), j'allie rigueur d'ingénieur et vision produit.</w:t>
            </w:r>
          </w:p>
          <w:p>
            <w:pPr>
              <w:spacing w:before="100" w:after="30"/>
            </w:pPr>
            <w:r>
              <w:rPr>
                <w:b/>
                <w:color w:val="0284C7"/>
                <w:sz w:val="16"/>
              </w:rPr>
              <w:t xml:space="preserve">◈  </w:t>
            </w:r>
            <w:r>
              <w:rPr>
                <w:rFonts w:ascii="Segoe UI" w:hAnsi="Segoe UI"/>
                <w:b/>
                <w:color w:val="0A1128"/>
                <w:sz w:val="17"/>
              </w:rPr>
              <w:t>PROJETS IA MAJEURS</w:t>
            </w:r>
          </w:p>
          <w:p>
            <w:pPr>
              <w:spacing w:before="50" w:after="10"/>
            </w:pPr>
            <w:r>
              <w:rPr>
                <w:b/>
                <w:color w:val="0A1128"/>
                <w:sz w:val="16"/>
              </w:rPr>
              <w:t xml:space="preserve">Archi Cam AI  </w:t>
            </w:r>
            <w:r>
              <w:rPr>
                <w:i/>
                <w:color w:val="0284C7"/>
                <w:sz w:val="14"/>
              </w:rPr>
              <w:t>–  SaaS IA Agentique &amp; 5D BIM</w:t>
            </w:r>
          </w:p>
          <w:p>
            <w:pPr>
              <w:spacing w:before="0" w:after="16" w:line="252" w:lineRule="auto"/>
              <w:ind w:left="144"/>
            </w:pPr>
            <w:r>
              <w:rPr>
                <w:b/>
                <w:color w:val="0284C7"/>
                <w:sz w:val="14"/>
              </w:rPr>
              <w:t xml:space="preserve">▸  </w:t>
            </w:r>
            <w:r>
              <w:rPr>
                <w:color w:val="334155"/>
                <w:sz w:val="14"/>
              </w:rPr>
              <w:t>Candidat officiel Google Africa Applied AI Lab. Chiffrage &amp; BIM 5D BTP (Gemma 4 12B local, Gemini, BAEL 91 déterministe).</w:t>
            </w:r>
          </w:p>
          <w:p>
            <w:pPr>
              <w:spacing w:before="0" w:after="16" w:line="252" w:lineRule="auto"/>
              <w:ind w:left="144"/>
            </w:pPr>
            <w:r>
              <w:rPr>
                <w:b/>
                <w:color w:val="0284C7"/>
                <w:sz w:val="14"/>
              </w:rPr>
              <w:t xml:space="preserve">▸  </w:t>
            </w:r>
            <w:r>
              <w:rPr>
                <w:color w:val="334155"/>
                <w:sz w:val="14"/>
              </w:rPr>
              <w:t>Génération DQE Excel en &lt;45s (-99,2% temps, R²=0,9872 sous MLflow) et rendus 3D Imagen 3 + ControlNet.</w:t>
            </w:r>
          </w:p>
          <w:p>
            <w:pPr>
              <w:spacing w:before="50" w:after="10"/>
            </w:pPr>
            <w:r>
              <w:rPr>
                <w:b/>
                <w:color w:val="0A1128"/>
                <w:sz w:val="16"/>
              </w:rPr>
              <w:t xml:space="preserve">K1-MATHINFO (v3.0.0)  </w:t>
            </w:r>
            <w:r>
              <w:rPr>
                <w:i/>
                <w:color w:val="0284C7"/>
                <w:sz w:val="14"/>
              </w:rPr>
              <w:t>–  IA Souveraine Multi-Agents &amp; Certification OKF</w:t>
            </w:r>
          </w:p>
          <w:p>
            <w:pPr>
              <w:spacing w:before="0" w:after="16" w:line="252" w:lineRule="auto"/>
              <w:ind w:left="144"/>
            </w:pPr>
            <w:r>
              <w:rPr>
                <w:b/>
                <w:color w:val="0284C7"/>
                <w:sz w:val="14"/>
              </w:rPr>
              <w:t xml:space="preserve">▸  </w:t>
            </w:r>
            <w:r>
              <w:rPr>
                <w:color w:val="334155"/>
                <w:sz w:val="14"/>
              </w:rPr>
              <w:t>Système souverain DMI (Univ. Ngaoundéré) : 470 thèses, 19 projets M1, graphe Neo4j 1 366 nœuds / 3 833 relations.</w:t>
            </w:r>
          </w:p>
          <w:p>
            <w:pPr>
              <w:spacing w:before="0" w:after="16" w:line="252" w:lineRule="auto"/>
              <w:ind w:left="144"/>
            </w:pPr>
            <w:r>
              <w:rPr>
                <w:b/>
                <w:color w:val="0284C7"/>
                <w:sz w:val="14"/>
              </w:rPr>
              <w:t xml:space="preserve">▸  </w:t>
            </w:r>
            <w:r>
              <w:rPr>
                <w:color w:val="334155"/>
                <w:sz w:val="14"/>
              </w:rPr>
              <w:t>6 agents LangGraph, recherche hybride RRF k=60 + Cross-Encoder, attesteur SHA-256 No-LLM, 77/77 tests (100%).</w:t>
            </w:r>
          </w:p>
          <w:p>
            <w:pPr>
              <w:spacing w:before="50" w:after="10"/>
            </w:pPr>
            <w:r>
              <w:rPr>
                <w:b/>
                <w:color w:val="0A1128"/>
                <w:sz w:val="16"/>
              </w:rPr>
              <w:t xml:space="preserve">Sovereign.BI Agentic  </w:t>
            </w:r>
            <w:r>
              <w:rPr>
                <w:i/>
                <w:color w:val="0284C7"/>
                <w:sz w:val="14"/>
              </w:rPr>
              <w:t>–  Business Intelligence &amp; NL-to-SQL/Cypher</w:t>
            </w:r>
          </w:p>
          <w:p>
            <w:pPr>
              <w:spacing w:before="0" w:after="16" w:line="252" w:lineRule="auto"/>
              <w:ind w:left="144"/>
            </w:pPr>
            <w:r>
              <w:rPr>
                <w:b/>
                <w:color w:val="0284C7"/>
                <w:sz w:val="14"/>
              </w:rPr>
              <w:t xml:space="preserve">▸  </w:t>
            </w:r>
            <w:r>
              <w:rPr>
                <w:color w:val="334155"/>
                <w:sz w:val="14"/>
              </w:rPr>
              <w:t>Moteur d'interrogation SQL/Graph en langage naturel (PostgreSQL pgvector, Neo4j N10S, latence &lt;5s).</w:t>
            </w:r>
          </w:p>
          <w:p>
            <w:pPr>
              <w:spacing w:before="0" w:after="16" w:line="252" w:lineRule="auto"/>
              <w:ind w:left="144"/>
            </w:pPr>
            <w:r>
              <w:rPr>
                <w:b/>
                <w:color w:val="0284C7"/>
                <w:sz w:val="14"/>
              </w:rPr>
              <w:t xml:space="preserve">▸  </w:t>
            </w:r>
            <w:r>
              <w:rPr>
                <w:color w:val="334155"/>
                <w:sz w:val="14"/>
              </w:rPr>
              <w:t>Garde-fous dynamiques anti-injection ABAC et explicabilité certifiée par auditeur SHAP Sentinel.</w:t>
            </w:r>
          </w:p>
          <w:p>
            <w:pPr>
              <w:spacing w:before="50" w:after="10"/>
            </w:pPr>
            <w:r>
              <w:rPr>
                <w:b/>
                <w:color w:val="0A1128"/>
                <w:sz w:val="16"/>
              </w:rPr>
              <w:t xml:space="preserve">Dataset Automator &amp; VigieSahel  </w:t>
            </w:r>
            <w:r>
              <w:rPr>
                <w:i/>
                <w:color w:val="0284C7"/>
                <w:sz w:val="14"/>
              </w:rPr>
              <w:t>–  MLOps &amp; Impact Agro-Climatique</w:t>
            </w:r>
          </w:p>
          <w:p>
            <w:pPr>
              <w:spacing w:before="0" w:after="16" w:line="252" w:lineRule="auto"/>
              <w:ind w:left="144"/>
            </w:pPr>
            <w:r>
              <w:rPr>
                <w:b/>
                <w:color w:val="0284C7"/>
                <w:sz w:val="14"/>
              </w:rPr>
              <w:t xml:space="preserve">▸  </w:t>
            </w:r>
            <w:r>
              <w:rPr>
                <w:color w:val="334155"/>
                <w:sz w:val="14"/>
              </w:rPr>
              <w:t>Dataset Automator : Usine MLOps avec surveillance du Data Drift (KS-test / PSI), tracking MLflow et Genkit.</w:t>
            </w:r>
          </w:p>
          <w:p>
            <w:pPr>
              <w:spacing w:before="0" w:after="16" w:line="252" w:lineRule="auto"/>
              <w:ind w:left="144"/>
            </w:pPr>
            <w:r>
              <w:rPr>
                <w:b/>
                <w:color w:val="0284C7"/>
                <w:sz w:val="14"/>
              </w:rPr>
              <w:t xml:space="preserve">▸  </w:t>
            </w:r>
            <w:r>
              <w:rPr>
                <w:color w:val="334155"/>
                <w:sz w:val="14"/>
              </w:rPr>
              <w:t>VigieSahel : Prédiction des épidémies et optimisation semis (-35% pertes, XGBoost R²&gt;94%, Supabase).</w:t>
            </w:r>
          </w:p>
          <w:p>
            <w:pPr>
              <w:spacing w:before="100" w:after="30"/>
            </w:pPr>
            <w:r>
              <w:rPr>
                <w:b/>
                <w:color w:val="0284C7"/>
                <w:sz w:val="16"/>
              </w:rPr>
              <w:t xml:space="preserve">◈  </w:t>
            </w:r>
            <w:r>
              <w:rPr>
                <w:rFonts w:ascii="Segoe UI" w:hAnsi="Segoe UI"/>
                <w:b/>
                <w:color w:val="0A1128"/>
                <w:sz w:val="17"/>
              </w:rPr>
              <w:t>PARCOURS PROFESSIONNEL</w:t>
            </w:r>
          </w:p>
          <w:p>
            <w:pPr>
              <w:spacing w:before="50" w:after="10"/>
            </w:pPr>
            <w:r>
              <w:rPr>
                <w:b/>
                <w:color w:val="0A1128"/>
                <w:sz w:val="16"/>
              </w:rPr>
              <w:t xml:space="preserve">Consultant IA &amp; Data Science  </w:t>
            </w:r>
            <w:r>
              <w:rPr>
                <w:i/>
                <w:color w:val="0284C7"/>
                <w:sz w:val="14"/>
              </w:rPr>
              <w:t>(2025 – Présent)</w:t>
            </w:r>
          </w:p>
          <w:p>
            <w:pPr>
              <w:spacing w:before="0" w:after="16"/>
            </w:pPr>
            <w:r>
              <w:rPr>
                <w:b/>
                <w:color w:val="64748B"/>
                <w:sz w:val="14"/>
              </w:rPr>
              <w:t>Projets Indépendants &amp; Entreprises  │  Douala</w:t>
            </w:r>
          </w:p>
          <w:p>
            <w:pPr>
              <w:spacing w:before="0" w:after="16" w:line="252" w:lineRule="auto"/>
              <w:ind w:left="144"/>
            </w:pPr>
            <w:r>
              <w:rPr>
                <w:b/>
                <w:color w:val="0284C7"/>
                <w:sz w:val="14"/>
              </w:rPr>
              <w:t xml:space="preserve">▸  </w:t>
            </w:r>
            <w:r>
              <w:rPr>
                <w:color w:val="334155"/>
                <w:sz w:val="14"/>
              </w:rPr>
              <w:t>Accompagnement d'entreprises dans l'adoption d'IA souveraines, pipelines RAG/GraphRAG Neo4j et bases SQL.</w:t>
            </w:r>
          </w:p>
          <w:p>
            <w:pPr>
              <w:spacing w:before="0" w:after="16" w:line="252" w:lineRule="auto"/>
              <w:ind w:left="144"/>
            </w:pPr>
            <w:r>
              <w:rPr>
                <w:b/>
                <w:color w:val="0284C7"/>
                <w:sz w:val="14"/>
              </w:rPr>
              <w:t xml:space="preserve">▸  </w:t>
            </w:r>
            <w:r>
              <w:rPr>
                <w:color w:val="334155"/>
                <w:sz w:val="14"/>
              </w:rPr>
              <w:t>Analyse exploratoire de jeux de données massifs, modélisation prédictive et reporting décisionnel exécutif.</w:t>
            </w:r>
          </w:p>
          <w:p>
            <w:pPr>
              <w:spacing w:before="50" w:after="10"/>
            </w:pPr>
            <w:r>
              <w:rPr>
                <w:b/>
                <w:color w:val="0A1128"/>
                <w:sz w:val="16"/>
              </w:rPr>
              <w:t xml:space="preserve">Agent de Sûreté Aéroportuaire (AVSEC)  </w:t>
            </w:r>
            <w:r>
              <w:rPr>
                <w:i/>
                <w:color w:val="0284C7"/>
                <w:sz w:val="14"/>
              </w:rPr>
              <w:t>(2018 – Présent)</w:t>
            </w:r>
          </w:p>
          <w:p>
            <w:pPr>
              <w:spacing w:before="0" w:after="16"/>
            </w:pPr>
            <w:r>
              <w:rPr>
                <w:b/>
                <w:color w:val="64748B"/>
                <w:sz w:val="14"/>
              </w:rPr>
              <w:t>CCAA (Autorité Aéronautique du Cameroun)</w:t>
            </w:r>
          </w:p>
          <w:p>
            <w:pPr>
              <w:spacing w:before="0" w:after="16" w:line="252" w:lineRule="auto"/>
              <w:ind w:left="144"/>
            </w:pPr>
            <w:r>
              <w:rPr>
                <w:b/>
                <w:color w:val="0284C7"/>
                <w:sz w:val="14"/>
              </w:rPr>
              <w:t xml:space="preserve">▸  </w:t>
            </w:r>
            <w:r>
              <w:rPr>
                <w:color w:val="334155"/>
                <w:sz w:val="14"/>
              </w:rPr>
              <w:t>Analyse des risques opérationnels, contrôle d'accès sécurisé et audits de conformité (Annexe 17 OACI).</w:t>
            </w:r>
          </w:p>
          <w:p>
            <w:pPr>
              <w:spacing w:before="0" w:after="16" w:line="252" w:lineRule="auto"/>
              <w:ind w:left="144"/>
            </w:pPr>
            <w:r>
              <w:rPr>
                <w:b/>
                <w:color w:val="0284C7"/>
                <w:sz w:val="14"/>
              </w:rPr>
              <w:t xml:space="preserve">▸  </w:t>
            </w:r>
            <w:r>
              <w:rPr>
                <w:color w:val="334155"/>
                <w:sz w:val="14"/>
              </w:rPr>
              <w:t>Rédaction de rapports de sûreté critiques et coordination d'interventions opérationnelles d'urgence.</w:t>
            </w:r>
          </w:p>
          <w:p>
            <w:pPr>
              <w:spacing w:before="100" w:after="30"/>
            </w:pPr>
            <w:r>
              <w:rPr>
                <w:b/>
                <w:color w:val="0284C7"/>
                <w:sz w:val="16"/>
              </w:rPr>
              <w:t xml:space="preserve">◈  </w:t>
            </w:r>
            <w:r>
              <w:rPr>
                <w:rFonts w:ascii="Segoe UI" w:hAnsi="Segoe UI"/>
                <w:b/>
                <w:color w:val="0A1128"/>
                <w:sz w:val="17"/>
              </w:rPr>
              <w:t>FORMATION ACADÉMIQUE</w:t>
            </w:r>
          </w:p>
          <w:p>
            <w:pPr>
              <w:spacing w:before="50" w:after="10"/>
            </w:pPr>
            <w:r>
              <w:rPr>
                <w:b/>
                <w:color w:val="0A1128"/>
                <w:sz w:val="16"/>
              </w:rPr>
              <w:t xml:space="preserve">Master Professionnel en Intelligence Artificielle Appliquée  </w:t>
            </w:r>
            <w:r>
              <w:rPr>
                <w:i/>
                <w:color w:val="0284C7"/>
                <w:sz w:val="14"/>
              </w:rPr>
              <w:t>(2025 – 2027)</w:t>
            </w:r>
            <w:r>
              <w:rPr>
                <w:b/>
                <w:color w:val="0284C7"/>
                <w:sz w:val="13"/>
              </w:rPr>
              <w:t xml:space="preserve">  [En cours d'obtention]</w:t>
            </w:r>
          </w:p>
          <w:p>
            <w:pPr>
              <w:spacing w:before="0" w:after="16"/>
            </w:pPr>
            <w:r>
              <w:rPr>
                <w:color w:val="64748B"/>
                <w:sz w:val="14"/>
              </w:rPr>
              <w:t>Université de Ngaoundéré  │  Graphes Neo4j, MLOps, Prompt Engineering &amp; Architectures LLM</w:t>
            </w:r>
          </w:p>
          <w:p>
            <w:pPr>
              <w:spacing w:before="50" w:after="10"/>
            </w:pPr>
            <w:r>
              <w:rPr>
                <w:b/>
                <w:color w:val="0A1128"/>
                <w:sz w:val="16"/>
              </w:rPr>
              <w:t xml:space="preserve">Licence &amp; BTS Génie Civil (Option Bâtiment)  </w:t>
            </w:r>
            <w:r>
              <w:rPr>
                <w:i/>
                <w:color w:val="0284C7"/>
                <w:sz w:val="14"/>
              </w:rPr>
              <w:t>(2015 – 2016)</w:t>
            </w:r>
          </w:p>
          <w:p>
            <w:pPr>
              <w:spacing w:before="0" w:after="16"/>
            </w:pPr>
            <w:r>
              <w:rPr>
                <w:color w:val="64748B"/>
                <w:sz w:val="14"/>
              </w:rPr>
              <w:t>ISTDI / IUC Douala  │  Dimensionnement structures (BAEL 91), métrés &amp; gestion projets BTP</w:t>
            </w:r>
          </w:p>
        </w:tc>
      </w:tr>
    </w:tbl>
    <w:sectPr w:rsidR="00FC693F" w:rsidRPr="0006063C" w:rsidSect="00034616">
      <w:pgSz w:w="12240" w:h="15840"/>
      <w:pgMar w:top="403" w:right="360" w:bottom="360"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