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Calibri" w:cs="Calibri" w:eastAsia="Calibri" w:hAnsi="Calibri"/>
          <w:b/>
          <w:bCs/>
          <w:color w:val="2b3140"/>
          <w:sz w:val="40"/>
          <w:szCs w:val="40"/>
        </w:rPr>
        <w:t xml:space="preserve">GESA</w:t>
      </w:r>
    </w:p>
    <w:p>
      <w:pPr>
        <w:spacing w:after="60"/>
      </w:pPr>
      <w:r>
        <w:rPr>
          <w:rFonts w:ascii="Calibri" w:cs="Calibri" w:eastAsia="Calibri" w:hAnsi="Calibri"/>
          <w:i/>
          <w:iCs/>
          <w:color w:val="5c6470"/>
          <w:sz w:val="20"/>
          <w:szCs w:val="20"/>
        </w:rPr>
        <w:t xml:space="preserve">Global Emotional Support Alliance</w:t>
      </w:r>
    </w:p>
    <w:p>
      <w:pPr>
        <w:pBdr>
          <w:bottom w:val="single" w:color="8c6f1f" w:sz="8" w:space="4"/>
        </w:pBdr>
        <w:spacing w:after="260"/>
      </w:pPr>
      <w:r>
        <w:rPr>
          <w:rFonts w:ascii="Calibri" w:cs="Calibri" w:eastAsia="Calibri" w:hAnsi="Calibri"/>
          <w:b/>
          <w:bCs/>
          <w:color w:val="2b3140"/>
          <w:sz w:val="30"/>
          <w:szCs w:val="30"/>
        </w:rPr>
        <w:t xml:space="preserve">Response to VVPH_GESA_STP_TestPlanAndExecution — Developer Findings</w:t>
      </w:r>
    </w:p>
    <w:p>
      <w:pPr>
        <w:spacing w:after="160"/>
      </w:pPr>
      <w:r>
        <w:rPr>
          <w:rFonts w:ascii="Calibri" w:cs="Calibri" w:eastAsia="Calibri" w:hAnsi="Calibri"/>
          <w:color w:val="5c6470"/>
          <w:sz w:val="21"/>
          <w:szCs w:val="21"/>
        </w:rPr>
        <w:t xml:space="preserve">Prepared by: GESA Development Team</w:t>
      </w:r>
    </w:p>
    <w:p>
      <w:pPr>
        <w:spacing w:after="160"/>
      </w:pPr>
      <w:r>
        <w:rPr>
          <w:rFonts w:ascii="Calibri" w:cs="Calibri" w:eastAsia="Calibri" w:hAnsi="Calibri"/>
          <w:color w:val="5c6470"/>
          <w:sz w:val="21"/>
          <w:szCs w:val="21"/>
        </w:rPr>
        <w:t xml:space="preserve">For: VentVest QA — VVPH_GESA_STP_TestPlanAndExecution</w:t>
      </w:r>
    </w:p>
    <w:p>
      <w:pPr>
        <w:spacing w:after="160"/>
      </w:pPr>
      <w:r>
        <w:rPr>
          <w:rFonts w:ascii="Calibri" w:cs="Calibri" w:eastAsia="Calibri" w:hAnsi="Calibri"/>
          <w:color w:val="5c6470"/>
          <w:sz w:val="21"/>
          <w:szCs w:val="21"/>
        </w:rPr>
        <w:t xml:space="preserve">Date: September 9, 2026</w:t>
      </w:r>
    </w:p>
    <w:p>
      <w:pPr>
        <w:spacing w:after="200" w:before="100"/>
      </w:pPr>
      <w:r>
        <w:rPr>
          <w:rFonts w:ascii="Calibri" w:cs="Calibri" w:eastAsia="Calibri" w:hAnsi="Calibri"/>
          <w:b/>
          <w:bCs/>
          <w:sz w:val="21"/>
          <w:szCs w:val="21"/>
        </w:rPr>
        <w:t xml:space="preserve">Scope of this response: </w:t>
      </w:r>
      <w:r>
        <w:rPr>
          <w:rFonts w:ascii="Calibri" w:cs="Calibri" w:eastAsia="Calibri" w:hAnsi="Calibri"/>
          <w:sz w:val="21"/>
          <w:szCs w:val="21"/>
        </w:rPr>
        <w:t xml:space="preserve">Each item below reflects only what is actually built and live on the GESA website today. Where a finding describes a gap that has not been addressed, this document says so plainly rather than describing planned or future work. Where recent development has already closed a gap the QA team flagged, that is noted as well.</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5500"/>
        <w:gridCol w:w="1350"/>
      </w:tblGrid>
      <w:tr>
        <w:trPr>
          <w:tblHeader/>
        </w:trPr>
        <w:tc>
          <w:tcPr>
            <w:tcW w:type="dxa" w:w="600"/>
            <w:shd w:fill="2b3140" w:val="clear"/>
            <w:tcMar>
              <w:top w:type="dxa" w:w="100"/>
              <w:left w:type="dxa" w:w="120"/>
              <w:bottom w:type="dxa" w:w="100"/>
              <w:right w:type="dxa" w:w="120"/>
            </w:tcMar>
            <w:vAlign w:val="top"/>
          </w:tcPr>
          <w:p>
            <w:r>
              <w:rPr>
                <w:rFonts w:ascii="Calibri" w:cs="Calibri" w:eastAsia="Calibri" w:hAnsi="Calibri"/>
                <w:b/>
                <w:bCs/>
                <w:sz w:val="21"/>
                <w:szCs w:val="21"/>
              </w:rPr>
              <w:t xml:space="preserve">ID</w:t>
            </w:r>
          </w:p>
        </w:tc>
        <w:tc>
          <w:tcPr>
            <w:tcW w:type="dxa" w:w="2700"/>
            <w:shd w:fill="2b3140"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QA Finding / Question</w:t>
            </w:r>
          </w:p>
        </w:tc>
        <w:tc>
          <w:tcPr>
            <w:tcW w:type="dxa" w:w="5500"/>
            <w:shd w:fill="2b3140"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GESA Development Team Response</w:t>
            </w:r>
          </w:p>
        </w:tc>
        <w:tc>
          <w:tcPr>
            <w:tcW w:type="dxa" w:w="1350"/>
            <w:shd w:fill="2b3140"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Status</w:t>
            </w:r>
          </w:p>
        </w:tc>
      </w:tr>
      <w:tr>
        <w:tc>
          <w:tcPr>
            <w:tcW w:type="dxa" w:w="600"/>
            <w:tcMar>
              <w:top w:type="dxa" w:w="100"/>
              <w:left w:type="dxa" w:w="120"/>
              <w:bottom w:type="dxa" w:w="100"/>
              <w:right w:type="dxa" w:w="120"/>
            </w:tcMar>
            <w:vAlign w:val="top"/>
          </w:tcPr>
          <w:p>
            <w:r>
              <w:rPr>
                <w:rFonts w:ascii="Calibri" w:cs="Calibri" w:eastAsia="Calibri" w:hAnsi="Calibri"/>
                <w:b/>
                <w:bCs/>
                <w:color w:val="8c6f1f"/>
                <w:sz w:val="20"/>
                <w:szCs w:val="20"/>
              </w:rPr>
              <w:t xml:space="preserve">Q1</w:t>
            </w:r>
          </w:p>
        </w:tc>
        <w:tc>
          <w:tcPr>
            <w:tcW w:type="dxa" w:w="2700"/>
            <w:tcMar>
              <w:top w:type="dxa" w:w="100"/>
              <w:left w:type="dxa" w:w="120"/>
              <w:bottom w:type="dxa" w:w="100"/>
              <w:right w:type="dxa" w:w="120"/>
            </w:tcMar>
            <w:vAlign w:val="top"/>
          </w:tcPr>
          <w:p>
            <w:r>
              <w:rPr>
                <w:rFonts w:ascii="Calibri" w:cs="Calibri" w:eastAsia="Calibri" w:hAnsi="Calibri"/>
                <w:i/>
                <w:iCs/>
                <w:sz w:val="19"/>
                <w:szCs w:val="19"/>
              </w:rPr>
              <w:t xml:space="preserve">Should the “In crisis?” button show local emergency numbers based on the user’s location?</w:t>
            </w:r>
          </w:p>
        </w:tc>
        <w:tc>
          <w:tcPr>
            <w:tcW w:type="dxa" w:w="5500"/>
            <w:tcMar>
              <w:top w:type="dxa" w:w="100"/>
              <w:left w:type="dxa" w:w="120"/>
              <w:bottom w:type="dxa" w:w="100"/>
              <w:right w:type="dxa" w:w="120"/>
            </w:tcMar>
            <w:vAlign w:val="top"/>
          </w:tcPr>
          <w:p>
            <w:pPr>
              <w:spacing w:after="100"/>
            </w:pPr>
            <w:r>
              <w:rPr>
                <w:rFonts w:ascii="Calibri" w:cs="Calibri" w:eastAsia="Calibri" w:hAnsi="Calibri"/>
                <w:sz w:val="19"/>
                <w:szCs w:val="19"/>
              </w:rPr>
              <w:t xml:space="preserve">Not implemented. The crisis button (rendered on every page) currently shows a fixed set of resources: the 988 Suicide &amp; Crisis Lifeline, Crisis Text Line (741741), 988 Lifeline Chat, and a link to findahelpline.com — an international directory — plus a disclaimer directing users to call their own local emergency number.</w:t>
            </w:r>
          </w:p>
          <w:p>
            <w:pPr>
              <w:spacing w:after="100"/>
            </w:pPr>
            <w:r>
              <w:rPr>
                <w:rFonts w:ascii="Calibri" w:cs="Calibri" w:eastAsia="Calibri" w:hAnsi="Calibri"/>
                <w:sz w:val="19"/>
                <w:szCs w:val="19"/>
              </w:rPr>
              <w:t xml:space="preserve">There is no IP- or browser-based location detection that swaps in a country-specific hotline. International users today are routed to the findahelpline.com directory rather than shown a local number directly on the button itself.</w:t>
            </w:r>
          </w:p>
        </w:tc>
        <w:tc>
          <w:tcPr>
            <w:tcW w:type="dxa" w:w="1350"/>
            <w:tcMar>
              <w:top w:type="dxa" w:w="100"/>
              <w:left w:type="dxa" w:w="120"/>
              <w:bottom w:type="dxa" w:w="100"/>
              <w:right w:type="dxa" w:w="120"/>
            </w:tcMar>
            <w:vAlign w:val="top"/>
          </w:tcPr>
          <w:p>
            <w:r>
              <w:rPr>
                <w:rFonts w:ascii="Calibri" w:cs="Calibri" w:eastAsia="Calibri" w:hAnsi="Calibri"/>
                <w:b/>
                <w:bCs/>
                <w:color w:val="b23b3b"/>
                <w:sz w:val="19"/>
                <w:szCs w:val="19"/>
              </w:rPr>
              <w:t xml:space="preserve">Not Implemented</w:t>
            </w:r>
          </w:p>
        </w:tc>
      </w:tr>
      <w:tr>
        <w:tc>
          <w:tcPr>
            <w:tcW w:type="dxa" w:w="600"/>
            <w:shd w:fill="F7F5EF" w:val="clear"/>
            <w:tcMar>
              <w:top w:type="dxa" w:w="100"/>
              <w:left w:type="dxa" w:w="120"/>
              <w:bottom w:type="dxa" w:w="100"/>
              <w:right w:type="dxa" w:w="120"/>
            </w:tcMar>
            <w:vAlign w:val="top"/>
          </w:tcPr>
          <w:p>
            <w:r>
              <w:rPr>
                <w:rFonts w:ascii="Calibri" w:cs="Calibri" w:eastAsia="Calibri" w:hAnsi="Calibri"/>
                <w:b/>
                <w:bCs/>
                <w:color w:val="8c6f1f"/>
                <w:sz w:val="20"/>
                <w:szCs w:val="20"/>
              </w:rPr>
              <w:t xml:space="preserve">Q2</w:t>
            </w:r>
          </w:p>
        </w:tc>
        <w:tc>
          <w:tcPr>
            <w:tcW w:type="dxa" w:w="2700"/>
            <w:shd w:fill="F7F5EF" w:val="clear"/>
            <w:tcMar>
              <w:top w:type="dxa" w:w="100"/>
              <w:left w:type="dxa" w:w="120"/>
              <w:bottom w:type="dxa" w:w="100"/>
              <w:right w:type="dxa" w:w="120"/>
            </w:tcMar>
            <w:vAlign w:val="top"/>
          </w:tcPr>
          <w:p>
            <w:r>
              <w:rPr>
                <w:rFonts w:ascii="Calibri" w:cs="Calibri" w:eastAsia="Calibri" w:hAnsi="Calibri"/>
                <w:i/>
                <w:iCs/>
                <w:sz w:val="19"/>
                <w:szCs w:val="19"/>
              </w:rPr>
              <w:t xml:space="preserve">Contact form submissions are treated like general feedback with no status field — how will staff know to prioritize them?</w:t>
            </w:r>
          </w:p>
        </w:tc>
        <w:tc>
          <w:tcPr>
            <w:tcW w:type="dxa" w:w="5500"/>
            <w:shd w:fill="F7F5EF" w:val="clear"/>
            <w:tcMar>
              <w:top w:type="dxa" w:w="100"/>
              <w:left w:type="dxa" w:w="120"/>
              <w:bottom w:type="dxa" w:w="100"/>
              <w:right w:type="dxa" w:w="120"/>
            </w:tcMar>
            <w:vAlign w:val="top"/>
          </w:tcPr>
          <w:p>
            <w:pPr>
              <w:spacing w:after="100"/>
            </w:pPr>
            <w:r>
              <w:rPr>
                <w:rFonts w:ascii="Calibri" w:cs="Calibri" w:eastAsia="Calibri" w:hAnsi="Calibri"/>
                <w:sz w:val="19"/>
                <w:szCs w:val="19"/>
              </w:rPr>
              <w:t xml:space="preserve">Partially addressed already. As of a recent update, every Contact-page and footer (“Help us grow”) submission writes to a shared inquiries table that now has a status field (New / Seen / In Progress / Resolved / Archived), manageable from the admin Inquiries screen, with search, status filtering, and a Source column showing where each one came from.</w:t>
            </w:r>
          </w:p>
          <w:p>
            <w:pPr>
              <w:spacing w:after="100"/>
            </w:pPr>
            <w:r>
              <w:rPr>
                <w:rFonts w:ascii="Calibri" w:cs="Calibri" w:eastAsia="Calibri" w:hAnsi="Calibri"/>
                <w:sz w:val="19"/>
                <w:szCs w:val="19"/>
              </w:rPr>
              <w:t xml:space="preserve">This gives staff a working triage queue, but there is no automatic urgency flag: a general inquiry and an “I need support” submission both land as “New” with no distinguishing alert. Separately, Group Registrations remain on their own table (id, group_id, name, email, phone) with no status field at all — that path still has no triage workflow.</w:t>
            </w:r>
          </w:p>
        </w:tc>
        <w:tc>
          <w:tcPr>
            <w:tcW w:type="dxa" w:w="1350"/>
            <w:shd w:fill="F7F5EF" w:val="clear"/>
            <w:tcMar>
              <w:top w:type="dxa" w:w="100"/>
              <w:left w:type="dxa" w:w="120"/>
              <w:bottom w:type="dxa" w:w="100"/>
              <w:right w:type="dxa" w:w="120"/>
            </w:tcMar>
            <w:vAlign w:val="top"/>
          </w:tcPr>
          <w:p>
            <w:r>
              <w:rPr>
                <w:rFonts w:ascii="Calibri" w:cs="Calibri" w:eastAsia="Calibri" w:hAnsi="Calibri"/>
                <w:b/>
                <w:bCs/>
                <w:color w:val="8c6f1f"/>
                <w:sz w:val="19"/>
                <w:szCs w:val="19"/>
              </w:rPr>
              <w:t xml:space="preserve">Partial</w:t>
            </w:r>
          </w:p>
        </w:tc>
      </w:tr>
      <w:tr>
        <w:tc>
          <w:tcPr>
            <w:tcW w:type="dxa" w:w="600"/>
            <w:tcMar>
              <w:top w:type="dxa" w:w="100"/>
              <w:left w:type="dxa" w:w="120"/>
              <w:bottom w:type="dxa" w:w="100"/>
              <w:right w:type="dxa" w:w="120"/>
            </w:tcMar>
            <w:vAlign w:val="top"/>
          </w:tcPr>
          <w:p>
            <w:r>
              <w:rPr>
                <w:rFonts w:ascii="Calibri" w:cs="Calibri" w:eastAsia="Calibri" w:hAnsi="Calibri"/>
                <w:b/>
                <w:bCs/>
                <w:color w:val="8c6f1f"/>
                <w:sz w:val="20"/>
                <w:szCs w:val="20"/>
              </w:rPr>
              <w:t xml:space="preserve">Q3</w:t>
            </w:r>
          </w:p>
        </w:tc>
        <w:tc>
          <w:tcPr>
            <w:tcW w:type="dxa" w:w="2700"/>
            <w:tcMar>
              <w:top w:type="dxa" w:w="100"/>
              <w:left w:type="dxa" w:w="120"/>
              <w:bottom w:type="dxa" w:w="100"/>
              <w:right w:type="dxa" w:w="120"/>
            </w:tcMar>
            <w:vAlign w:val="top"/>
          </w:tcPr>
          <w:p>
            <w:r>
              <w:rPr>
                <w:rFonts w:ascii="Calibri" w:cs="Calibri" w:eastAsia="Calibri" w:hAnsi="Calibri"/>
                <w:i/>
                <w:iCs/>
                <w:sz w:val="19"/>
                <w:szCs w:val="19"/>
              </w:rPr>
              <w:t xml:space="preserve">What message is shown when someone under 18 tries to sign up? Is it age-appropriate and does it direct them to help resources?</w:t>
            </w:r>
          </w:p>
        </w:tc>
        <w:tc>
          <w:tcPr>
            <w:tcW w:type="dxa" w:w="5500"/>
            <w:tcMar>
              <w:top w:type="dxa" w:w="100"/>
              <w:left w:type="dxa" w:w="120"/>
              <w:bottom w:type="dxa" w:w="100"/>
              <w:right w:type="dxa" w:w="120"/>
            </w:tcMar>
            <w:vAlign w:val="top"/>
          </w:tcPr>
          <w:p>
            <w:pPr>
              <w:spacing w:after="100"/>
            </w:pPr>
            <w:r>
              <w:rPr>
                <w:rFonts w:ascii="Calibri" w:cs="Calibri" w:eastAsia="Calibri" w:hAnsi="Calibri"/>
                <w:sz w:val="19"/>
                <w:szCs w:val="19"/>
              </w:rPr>
              <w:t xml:space="preserve">Signup itself (the account-creation form) asks only for name, email, and password — it collects no date of birth and shows no age messaging at all.</w:t>
            </w:r>
          </w:p>
          <w:p>
            <w:pPr>
              <w:spacing w:after="100"/>
            </w:pPr>
            <w:r>
              <w:rPr>
                <w:rFonts w:ascii="Calibri" w:cs="Calibri" w:eastAsia="Calibri" w:hAnsi="Calibri"/>
                <w:sz w:val="19"/>
                <w:szCs w:val="19"/>
              </w:rPr>
              <w:t xml:space="preserve">The age gate exists further along two other flows instead: the AI Support wizard requires an “I confirm that I am 18 years of age or older” checkbox, with the error “You must confirm you're 18 or older to continue” if left unchecked; and the Intake Booking flow collects a birth year, validated server-side, rejecting under-18 birth years with “you must be at least 18 years old to book a session.” Neither message links out to age-appropriate youth resources — both are plain validation errors.</w:t>
            </w:r>
          </w:p>
        </w:tc>
        <w:tc>
          <w:tcPr>
            <w:tcW w:type="dxa" w:w="1350"/>
            <w:tcMar>
              <w:top w:type="dxa" w:w="100"/>
              <w:left w:type="dxa" w:w="120"/>
              <w:bottom w:type="dxa" w:w="100"/>
              <w:right w:type="dxa" w:w="120"/>
            </w:tcMar>
            <w:vAlign w:val="top"/>
          </w:tcPr>
          <w:p>
            <w:r>
              <w:rPr>
                <w:rFonts w:ascii="Calibri" w:cs="Calibri" w:eastAsia="Calibri" w:hAnsi="Calibri"/>
                <w:b/>
                <w:bCs/>
                <w:color w:val="8c6f1f"/>
                <w:sz w:val="19"/>
                <w:szCs w:val="19"/>
              </w:rPr>
              <w:t xml:space="preserve">Partial</w:t>
            </w:r>
          </w:p>
        </w:tc>
      </w:tr>
      <w:tr>
        <w:tc>
          <w:tcPr>
            <w:tcW w:type="dxa" w:w="600"/>
            <w:shd w:fill="F7F5EF" w:val="clear"/>
            <w:tcMar>
              <w:top w:type="dxa" w:w="100"/>
              <w:left w:type="dxa" w:w="120"/>
              <w:bottom w:type="dxa" w:w="100"/>
              <w:right w:type="dxa" w:w="120"/>
            </w:tcMar>
            <w:vAlign w:val="top"/>
          </w:tcPr>
          <w:p>
            <w:r>
              <w:rPr>
                <w:rFonts w:ascii="Calibri" w:cs="Calibri" w:eastAsia="Calibri" w:hAnsi="Calibri"/>
                <w:b/>
                <w:bCs/>
                <w:color w:val="8c6f1f"/>
                <w:sz w:val="20"/>
                <w:szCs w:val="20"/>
              </w:rPr>
              <w:t xml:space="preserve">Q11</w:t>
            </w:r>
          </w:p>
        </w:tc>
        <w:tc>
          <w:tcPr>
            <w:tcW w:type="dxa" w:w="2700"/>
            <w:shd w:fill="F7F5EF" w:val="clear"/>
            <w:tcMar>
              <w:top w:type="dxa" w:w="100"/>
              <w:left w:type="dxa" w:w="120"/>
              <w:bottom w:type="dxa" w:w="100"/>
              <w:right w:type="dxa" w:w="120"/>
            </w:tcMar>
            <w:vAlign w:val="top"/>
          </w:tcPr>
          <w:p>
            <w:r>
              <w:rPr>
                <w:rFonts w:ascii="Calibri" w:cs="Calibri" w:eastAsia="Calibri" w:hAnsi="Calibri"/>
                <w:i/>
                <w:iCs/>
                <w:sz w:val="19"/>
                <w:szCs w:val="19"/>
              </w:rPr>
              <w:t xml:space="preserve">There is no visible indicator of whether a match came from the primary AI or the backup system, and the backup's ranking rules aren't documented.</w:t>
            </w:r>
          </w:p>
        </w:tc>
        <w:tc>
          <w:tcPr>
            <w:tcW w:type="dxa" w:w="5500"/>
            <w:shd w:fill="F7F5EF" w:val="clear"/>
            <w:tcMar>
              <w:top w:type="dxa" w:w="100"/>
              <w:left w:type="dxa" w:w="120"/>
              <w:bottom w:type="dxa" w:w="100"/>
              <w:right w:type="dxa" w:w="120"/>
            </w:tcMar>
            <w:vAlign w:val="top"/>
          </w:tcPr>
          <w:p>
            <w:pPr>
              <w:spacing w:after="100"/>
            </w:pPr>
            <w:r>
              <w:rPr>
                <w:rFonts w:ascii="Calibri" w:cs="Calibri" w:eastAsia="Calibri" w:hAnsi="Calibri"/>
                <w:sz w:val="19"/>
                <w:szCs w:val="19"/>
              </w:rPr>
              <w:t xml:space="preserve">The failover logic itself is implemented and reliable: the matching engine always attempts the AI match first and only falls back to the rule-based system if the API key is missing or the AI call fails or returns invalid output — every failure path is caught so a client is never left with zero matches.</w:t>
            </w:r>
          </w:p>
          <w:p>
            <w:pPr>
              <w:spacing w:after="100"/>
            </w:pPr>
            <w:r>
              <w:rPr>
                <w:rFonts w:ascii="Calibri" w:cs="Calibri" w:eastAsia="Calibri" w:hAnsi="Calibri"/>
                <w:sz w:val="19"/>
                <w:szCs w:val="19"/>
              </w:rPr>
              <w:t xml:space="preserve">There is currently no UI indicator or API flag distinguishing which path produced a given match. The backup system's rules are: gender is a hard filter (or explicitly bypassed with a flag if no one matches, so no client is shown zero results), treatment type is weighted heavily (an exact specialty match outweighs a partial keyword match), preferred language gives a smaller boost, and the remaining candidates are ranked by keyword overlap, capped at 3 results.</w:t>
            </w:r>
          </w:p>
        </w:tc>
        <w:tc>
          <w:tcPr>
            <w:tcW w:type="dxa" w:w="1350"/>
            <w:shd w:fill="F7F5EF" w:val="clear"/>
            <w:tcMar>
              <w:top w:type="dxa" w:w="100"/>
              <w:left w:type="dxa" w:w="120"/>
              <w:bottom w:type="dxa" w:w="100"/>
              <w:right w:type="dxa" w:w="120"/>
            </w:tcMar>
            <w:vAlign w:val="top"/>
          </w:tcPr>
          <w:p>
            <w:r>
              <w:rPr>
                <w:rFonts w:ascii="Calibri" w:cs="Calibri" w:eastAsia="Calibri" w:hAnsi="Calibri"/>
                <w:b/>
                <w:bCs/>
                <w:color w:val="b23b3b"/>
                <w:sz w:val="19"/>
                <w:szCs w:val="19"/>
              </w:rPr>
              <w:t xml:space="preserve">Not Implemented</w:t>
            </w:r>
          </w:p>
        </w:tc>
      </w:tr>
      <w:tr>
        <w:tc>
          <w:tcPr>
            <w:tcW w:type="dxa" w:w="600"/>
            <w:tcMar>
              <w:top w:type="dxa" w:w="100"/>
              <w:left w:type="dxa" w:w="120"/>
              <w:bottom w:type="dxa" w:w="100"/>
              <w:right w:type="dxa" w:w="120"/>
            </w:tcMar>
            <w:vAlign w:val="top"/>
          </w:tcPr>
          <w:p>
            <w:r>
              <w:rPr>
                <w:rFonts w:ascii="Calibri" w:cs="Calibri" w:eastAsia="Calibri" w:hAnsi="Calibri"/>
                <w:b/>
                <w:bCs/>
                <w:color w:val="8c6f1f"/>
                <w:sz w:val="20"/>
                <w:szCs w:val="20"/>
              </w:rPr>
              <w:t xml:space="preserve">Q17</w:t>
            </w:r>
          </w:p>
        </w:tc>
        <w:tc>
          <w:tcPr>
            <w:tcW w:type="dxa" w:w="2700"/>
            <w:tcMar>
              <w:top w:type="dxa" w:w="100"/>
              <w:left w:type="dxa" w:w="120"/>
              <w:bottom w:type="dxa" w:w="100"/>
              <w:right w:type="dxa" w:w="120"/>
            </w:tcMar>
            <w:vAlign w:val="top"/>
          </w:tcPr>
          <w:p>
            <w:r>
              <w:rPr>
                <w:rFonts w:ascii="Calibri" w:cs="Calibri" w:eastAsia="Calibri" w:hAnsi="Calibri"/>
                <w:i/>
                <w:iCs/>
                <w:sz w:val="19"/>
                <w:szCs w:val="19"/>
              </w:rPr>
              <w:t xml:space="preserve">Is the older booking method (FR-7) officially retired, or still reachable and in scope for testing?</w:t>
            </w:r>
          </w:p>
        </w:tc>
        <w:tc>
          <w:tcPr>
            <w:tcW w:type="dxa" w:w="5500"/>
            <w:tcMar>
              <w:top w:type="dxa" w:w="100"/>
              <w:left w:type="dxa" w:w="120"/>
              <w:bottom w:type="dxa" w:w="100"/>
              <w:right w:type="dxa" w:w="120"/>
            </w:tcMar>
            <w:vAlign w:val="top"/>
          </w:tcPr>
          <w:p>
            <w:pPr>
              <w:spacing w:after="100"/>
            </w:pPr>
            <w:r>
              <w:rPr>
                <w:rFonts w:ascii="Calibri" w:cs="Calibri" w:eastAsia="Calibri" w:hAnsi="Calibri"/>
                <w:sz w:val="19"/>
                <w:szCs w:val="19"/>
              </w:rPr>
              <w:t xml:space="preserve">The original “record a preferred time, no conflict check” endpoint is still present in the codebase but is not linked from anywhere in the live site — the two flows actually reachable by users today are AI Support matching and the conflict-checked Intake Booking flow.</w:t>
            </w:r>
          </w:p>
          <w:p>
            <w:pPr>
              <w:spacing w:after="100"/>
            </w:pPr>
            <w:r>
              <w:rPr>
                <w:rFonts w:ascii="Calibri" w:cs="Calibri" w:eastAsia="Calibri" w:hAnsi="Calibri"/>
                <w:sz w:val="19"/>
                <w:szCs w:val="19"/>
              </w:rPr>
              <w:t xml:space="preserve">A closely related legacy endpoint has already been formally retired: it now returns HTTP 410 Gone on every request and performs no database write or email send. The older booking endpoint itself has not been retired the same way — it would still execute if called directly, even though the UI never calls it. We recommend marking it officially out of scope for testing, and optionally retiring it the same way to close it off entirely.</w:t>
            </w:r>
          </w:p>
        </w:tc>
        <w:tc>
          <w:tcPr>
            <w:tcW w:type="dxa" w:w="1350"/>
            <w:tcMar>
              <w:top w:type="dxa" w:w="100"/>
              <w:left w:type="dxa" w:w="120"/>
              <w:bottom w:type="dxa" w:w="100"/>
              <w:right w:type="dxa" w:w="120"/>
            </w:tcMar>
            <w:vAlign w:val="top"/>
          </w:tcPr>
          <w:p>
            <w:r>
              <w:rPr>
                <w:rFonts w:ascii="Calibri" w:cs="Calibri" w:eastAsia="Calibri" w:hAnsi="Calibri"/>
                <w:b/>
                <w:bCs/>
                <w:color w:val="8c6f1f"/>
                <w:sz w:val="19"/>
                <w:szCs w:val="19"/>
              </w:rPr>
              <w:t xml:space="preserve">Partial</w:t>
            </w:r>
          </w:p>
        </w:tc>
      </w:tr>
      <w:tr>
        <w:tc>
          <w:tcPr>
            <w:tcW w:type="dxa" w:w="600"/>
            <w:shd w:fill="F7F5EF" w:val="clear"/>
            <w:tcMar>
              <w:top w:type="dxa" w:w="100"/>
              <w:left w:type="dxa" w:w="120"/>
              <w:bottom w:type="dxa" w:w="100"/>
              <w:right w:type="dxa" w:w="120"/>
            </w:tcMar>
            <w:vAlign w:val="top"/>
          </w:tcPr>
          <w:p>
            <w:r>
              <w:rPr>
                <w:rFonts w:ascii="Calibri" w:cs="Calibri" w:eastAsia="Calibri" w:hAnsi="Calibri"/>
                <w:b/>
                <w:bCs/>
                <w:color w:val="8c6f1f"/>
                <w:sz w:val="20"/>
                <w:szCs w:val="20"/>
              </w:rPr>
              <w:t xml:space="preserve">NT1</w:t>
            </w:r>
          </w:p>
        </w:tc>
        <w:tc>
          <w:tcPr>
            <w:tcW w:type="dxa" w:w="2700"/>
            <w:shd w:fill="F7F5EF" w:val="clear"/>
            <w:tcMar>
              <w:top w:type="dxa" w:w="100"/>
              <w:left w:type="dxa" w:w="120"/>
              <w:bottom w:type="dxa" w:w="100"/>
              <w:right w:type="dxa" w:w="120"/>
            </w:tcMar>
            <w:vAlign w:val="top"/>
          </w:tcPr>
          <w:p>
            <w:r>
              <w:rPr>
                <w:rFonts w:ascii="Calibri" w:cs="Calibri" w:eastAsia="Calibri" w:hAnsi="Calibri"/>
                <w:i/>
                <w:iCs/>
                <w:sz w:val="19"/>
                <w:szCs w:val="19"/>
              </w:rPr>
              <w:t xml:space="preserve">How does the system score and rank matches? Can we get a testing switch to force fallback mode for reliable test cases?</w:t>
            </w:r>
          </w:p>
        </w:tc>
        <w:tc>
          <w:tcPr>
            <w:tcW w:type="dxa" w:w="5500"/>
            <w:shd w:fill="F7F5EF" w:val="clear"/>
            <w:tcMar>
              <w:top w:type="dxa" w:w="100"/>
              <w:left w:type="dxa" w:w="120"/>
              <w:bottom w:type="dxa" w:w="100"/>
              <w:right w:type="dxa" w:w="120"/>
            </w:tcMar>
            <w:vAlign w:val="top"/>
          </w:tcPr>
          <w:p>
            <w:pPr>
              <w:spacing w:after="100"/>
            </w:pPr>
            <w:r>
              <w:rPr>
                <w:rFonts w:ascii="Calibri" w:cs="Calibri" w:eastAsia="Calibri" w:hAnsi="Calibri"/>
                <w:sz w:val="19"/>
                <w:szCs w:val="19"/>
              </w:rPr>
              <w:t xml:space="preserve">The scoring rules are deterministic and documented in code: gender is a hard filter, an exact treatment-type/specialty match scores highest, a partial keyword match scores lower, preferred language adds a smaller boost, and results are ranked by total score, capped at 3.</w:t>
            </w:r>
          </w:p>
          <w:p>
            <w:pPr>
              <w:spacing w:after="100"/>
            </w:pPr>
            <w:r>
              <w:rPr>
                <w:rFonts w:ascii="Calibri" w:cs="Calibri" w:eastAsia="Calibri" w:hAnsi="Calibri"/>
                <w:sz w:val="19"/>
                <w:szCs w:val="19"/>
              </w:rPr>
              <w:t xml:space="preserve">There is no dedicated testing switch to force the system into fallback mode on demand — today, fallback only triggers automatically when the AI call is unavailable or fails.</w:t>
            </w:r>
          </w:p>
        </w:tc>
        <w:tc>
          <w:tcPr>
            <w:tcW w:type="dxa" w:w="1350"/>
            <w:shd w:fill="F7F5EF" w:val="clear"/>
            <w:tcMar>
              <w:top w:type="dxa" w:w="100"/>
              <w:left w:type="dxa" w:w="120"/>
              <w:bottom w:type="dxa" w:w="100"/>
              <w:right w:type="dxa" w:w="120"/>
            </w:tcMar>
            <w:vAlign w:val="top"/>
          </w:tcPr>
          <w:p>
            <w:r>
              <w:rPr>
                <w:rFonts w:ascii="Calibri" w:cs="Calibri" w:eastAsia="Calibri" w:hAnsi="Calibri"/>
                <w:b/>
                <w:bCs/>
                <w:color w:val="b23b3b"/>
                <w:sz w:val="19"/>
                <w:szCs w:val="19"/>
              </w:rPr>
              <w:t xml:space="preserve">Not Implemented</w:t>
            </w:r>
          </w:p>
        </w:tc>
      </w:tr>
      <w:tr>
        <w:tc>
          <w:tcPr>
            <w:tcW w:type="dxa" w:w="600"/>
            <w:tcMar>
              <w:top w:type="dxa" w:w="100"/>
              <w:left w:type="dxa" w:w="120"/>
              <w:bottom w:type="dxa" w:w="100"/>
              <w:right w:type="dxa" w:w="120"/>
            </w:tcMar>
            <w:vAlign w:val="top"/>
          </w:tcPr>
          <w:p>
            <w:r>
              <w:rPr>
                <w:rFonts w:ascii="Calibri" w:cs="Calibri" w:eastAsia="Calibri" w:hAnsi="Calibri"/>
                <w:b/>
                <w:bCs/>
                <w:color w:val="8c6f1f"/>
                <w:sz w:val="20"/>
                <w:szCs w:val="20"/>
              </w:rPr>
              <w:t xml:space="preserve">SC1</w:t>
            </w:r>
          </w:p>
        </w:tc>
        <w:tc>
          <w:tcPr>
            <w:tcW w:type="dxa" w:w="2700"/>
            <w:tcMar>
              <w:top w:type="dxa" w:w="100"/>
              <w:left w:type="dxa" w:w="120"/>
              <w:bottom w:type="dxa" w:w="100"/>
              <w:right w:type="dxa" w:w="120"/>
            </w:tcMar>
            <w:vAlign w:val="top"/>
          </w:tcPr>
          <w:p>
            <w:r>
              <w:rPr>
                <w:rFonts w:ascii="Calibri" w:cs="Calibri" w:eastAsia="Calibri" w:hAnsi="Calibri"/>
                <w:i/>
                <w:iCs/>
                <w:sz w:val="19"/>
                <w:szCs w:val="19"/>
              </w:rPr>
              <w:t xml:space="preserve">Do appointment times shown to a client automatically convert to their local time zone, or the therapist's?</w:t>
            </w:r>
          </w:p>
        </w:tc>
        <w:tc>
          <w:tcPr>
            <w:tcW w:type="dxa" w:w="5500"/>
            <w:tcMar>
              <w:top w:type="dxa" w:w="100"/>
              <w:left w:type="dxa" w:w="120"/>
              <w:bottom w:type="dxa" w:w="100"/>
              <w:right w:type="dxa" w:w="120"/>
            </w:tcMar>
            <w:vAlign w:val="top"/>
          </w:tcPr>
          <w:p>
            <w:pPr>
              <w:spacing w:after="100"/>
            </w:pPr>
            <w:r>
              <w:rPr>
                <w:rFonts w:ascii="Calibri" w:cs="Calibri" w:eastAsia="Calibri" w:hAnsi="Calibri"/>
                <w:sz w:val="19"/>
                <w:szCs w:val="19"/>
              </w:rPr>
              <w:t xml:space="preserve">Not implemented. Availability lookups and slot-selection both compare plain date strings with no time zone math. One flow does capture the client's browser-detected time zone as a free-text field, but nothing downstream currently uses it to convert or localize a displayed or booked time — the same clock time is shown to everyone regardless of location.</w:t>
            </w:r>
          </w:p>
        </w:tc>
        <w:tc>
          <w:tcPr>
            <w:tcW w:type="dxa" w:w="1350"/>
            <w:tcMar>
              <w:top w:type="dxa" w:w="100"/>
              <w:left w:type="dxa" w:w="120"/>
              <w:bottom w:type="dxa" w:w="100"/>
              <w:right w:type="dxa" w:w="120"/>
            </w:tcMar>
            <w:vAlign w:val="top"/>
          </w:tcPr>
          <w:p>
            <w:r>
              <w:rPr>
                <w:rFonts w:ascii="Calibri" w:cs="Calibri" w:eastAsia="Calibri" w:hAnsi="Calibri"/>
                <w:b/>
                <w:bCs/>
                <w:color w:val="b23b3b"/>
                <w:sz w:val="19"/>
                <w:szCs w:val="19"/>
              </w:rPr>
              <w:t xml:space="preserve">Not Implemented</w:t>
            </w:r>
          </w:p>
        </w:tc>
      </w:tr>
      <w:tr>
        <w:tc>
          <w:tcPr>
            <w:tcW w:type="dxa" w:w="600"/>
            <w:shd w:fill="F7F5EF" w:val="clear"/>
            <w:tcMar>
              <w:top w:type="dxa" w:w="100"/>
              <w:left w:type="dxa" w:w="120"/>
              <w:bottom w:type="dxa" w:w="100"/>
              <w:right w:type="dxa" w:w="120"/>
            </w:tcMar>
            <w:vAlign w:val="top"/>
          </w:tcPr>
          <w:p>
            <w:r>
              <w:rPr>
                <w:rFonts w:ascii="Calibri" w:cs="Calibri" w:eastAsia="Calibri" w:hAnsi="Calibri"/>
                <w:b/>
                <w:bCs/>
                <w:color w:val="8c6f1f"/>
                <w:sz w:val="20"/>
                <w:szCs w:val="20"/>
              </w:rPr>
              <w:t xml:space="preserve">SC2</w:t>
            </w:r>
          </w:p>
        </w:tc>
        <w:tc>
          <w:tcPr>
            <w:tcW w:type="dxa" w:w="2700"/>
            <w:shd w:fill="F7F5EF" w:val="clear"/>
            <w:tcMar>
              <w:top w:type="dxa" w:w="100"/>
              <w:left w:type="dxa" w:w="120"/>
              <w:bottom w:type="dxa" w:w="100"/>
              <w:right w:type="dxa" w:w="120"/>
            </w:tcMar>
            <w:vAlign w:val="top"/>
          </w:tcPr>
          <w:p>
            <w:r>
              <w:rPr>
                <w:rFonts w:ascii="Calibri" w:cs="Calibri" w:eastAsia="Calibri" w:hAnsi="Calibri"/>
                <w:i/>
                <w:iCs/>
                <w:sz w:val="19"/>
                <w:szCs w:val="19"/>
              </w:rPr>
              <w:t xml:space="preserve">If a therapist is deactivated, what happens to their existing scheduled appointments?</w:t>
            </w:r>
          </w:p>
        </w:tc>
        <w:tc>
          <w:tcPr>
            <w:tcW w:type="dxa" w:w="5500"/>
            <w:shd w:fill="F7F5EF" w:val="clear"/>
            <w:tcMar>
              <w:top w:type="dxa" w:w="100"/>
              <w:left w:type="dxa" w:w="120"/>
              <w:bottom w:type="dxa" w:w="100"/>
              <w:right w:type="dxa" w:w="120"/>
            </w:tcMar>
            <w:vAlign w:val="top"/>
          </w:tcPr>
          <w:p>
            <w:pPr>
              <w:spacing w:after="100"/>
            </w:pPr>
            <w:r>
              <w:rPr>
                <w:rFonts w:ascii="Calibri" w:cs="Calibri" w:eastAsia="Calibri" w:hAnsi="Calibri"/>
                <w:sz w:val="19"/>
                <w:szCs w:val="19"/>
              </w:rPr>
              <w:t xml:space="preserve">Not implemented. Deactivating a therapist (single or in bulk from the admin Professionals list) only flips their active/inactive flag. Nothing in that action looks up or cancels the therapist's existing future bookings, and no client-facing cancellation notice is sent. An already-booked appointment with a deactivated therapist remains in the system untouched, and the client is not proactively notified.</w:t>
            </w:r>
          </w:p>
        </w:tc>
        <w:tc>
          <w:tcPr>
            <w:tcW w:type="dxa" w:w="1350"/>
            <w:shd w:fill="F7F5EF" w:val="clear"/>
            <w:tcMar>
              <w:top w:type="dxa" w:w="100"/>
              <w:left w:type="dxa" w:w="120"/>
              <w:bottom w:type="dxa" w:w="100"/>
              <w:right w:type="dxa" w:w="120"/>
            </w:tcMar>
            <w:vAlign w:val="top"/>
          </w:tcPr>
          <w:p>
            <w:r>
              <w:rPr>
                <w:rFonts w:ascii="Calibri" w:cs="Calibri" w:eastAsia="Calibri" w:hAnsi="Calibri"/>
                <w:b/>
                <w:bCs/>
                <w:color w:val="b23b3b"/>
                <w:sz w:val="19"/>
                <w:szCs w:val="19"/>
              </w:rPr>
              <w:t xml:space="preserve">Not Implemented</w:t>
            </w:r>
          </w:p>
        </w:tc>
      </w:tr>
      <w:tr>
        <w:tc>
          <w:tcPr>
            <w:tcW w:type="dxa" w:w="600"/>
            <w:tcMar>
              <w:top w:type="dxa" w:w="100"/>
              <w:left w:type="dxa" w:w="120"/>
              <w:bottom w:type="dxa" w:w="100"/>
              <w:right w:type="dxa" w:w="120"/>
            </w:tcMar>
            <w:vAlign w:val="top"/>
          </w:tcPr>
          <w:p>
            <w:r>
              <w:rPr>
                <w:rFonts w:ascii="Calibri" w:cs="Calibri" w:eastAsia="Calibri" w:hAnsi="Calibri"/>
                <w:b/>
                <w:bCs/>
                <w:color w:val="8c6f1f"/>
                <w:sz w:val="20"/>
                <w:szCs w:val="20"/>
              </w:rPr>
              <w:t xml:space="preserve">SC7</w:t>
            </w:r>
          </w:p>
        </w:tc>
        <w:tc>
          <w:tcPr>
            <w:tcW w:type="dxa" w:w="2700"/>
            <w:tcMar>
              <w:top w:type="dxa" w:w="100"/>
              <w:left w:type="dxa" w:w="120"/>
              <w:bottom w:type="dxa" w:w="100"/>
              <w:right w:type="dxa" w:w="120"/>
            </w:tcMar>
            <w:vAlign w:val="top"/>
          </w:tcPr>
          <w:p>
            <w:r>
              <w:rPr>
                <w:rFonts w:ascii="Calibri" w:cs="Calibri" w:eastAsia="Calibri" w:hAnsi="Calibri"/>
                <w:i/>
                <w:iCs/>
                <w:sz w:val="19"/>
                <w:szCs w:val="19"/>
              </w:rPr>
              <w:t xml:space="preserve">Should the booking calendar enforce a minimum notice period, or redirect very short-notice requests to the crisis hotline?</w:t>
            </w:r>
          </w:p>
        </w:tc>
        <w:tc>
          <w:tcPr>
            <w:tcW w:type="dxa" w:w="5500"/>
            <w:tcMar>
              <w:top w:type="dxa" w:w="100"/>
              <w:left w:type="dxa" w:w="120"/>
              <w:bottom w:type="dxa" w:w="100"/>
              <w:right w:type="dxa" w:w="120"/>
            </w:tcMar>
            <w:vAlign w:val="top"/>
          </w:tcPr>
          <w:p>
            <w:pPr>
              <w:spacing w:after="100"/>
            </w:pPr>
            <w:r>
              <w:rPr>
                <w:rFonts w:ascii="Calibri" w:cs="Calibri" w:eastAsia="Calibri" w:hAnsi="Calibri"/>
                <w:sz w:val="19"/>
                <w:szCs w:val="19"/>
              </w:rPr>
              <w:t xml:space="preserve">Not implemented. The availability system enforces no minimum lead time — a slot five minutes from now is offered exactly like one a week away, as long as it isn't already booked or in the past. There is no redirect to crisis resources for near-immediate booking attempts, and no urgent notification path for therapists beyond the standard best-effort “New session booked” email sent at the time of every booking.</w:t>
            </w:r>
          </w:p>
        </w:tc>
        <w:tc>
          <w:tcPr>
            <w:tcW w:type="dxa" w:w="1350"/>
            <w:tcMar>
              <w:top w:type="dxa" w:w="100"/>
              <w:left w:type="dxa" w:w="120"/>
              <w:bottom w:type="dxa" w:w="100"/>
              <w:right w:type="dxa" w:w="120"/>
            </w:tcMar>
            <w:vAlign w:val="top"/>
          </w:tcPr>
          <w:p>
            <w:r>
              <w:rPr>
                <w:rFonts w:ascii="Calibri" w:cs="Calibri" w:eastAsia="Calibri" w:hAnsi="Calibri"/>
                <w:b/>
                <w:bCs/>
                <w:color w:val="b23b3b"/>
                <w:sz w:val="19"/>
                <w:szCs w:val="19"/>
              </w:rPr>
              <w:t xml:space="preserve">Not Implemented</w:t>
            </w:r>
          </w:p>
        </w:tc>
      </w:tr>
      <w:tr>
        <w:tc>
          <w:tcPr>
            <w:tcW w:type="dxa" w:w="600"/>
            <w:shd w:fill="F7F5EF" w:val="clear"/>
            <w:tcMar>
              <w:top w:type="dxa" w:w="100"/>
              <w:left w:type="dxa" w:w="120"/>
              <w:bottom w:type="dxa" w:w="100"/>
              <w:right w:type="dxa" w:w="120"/>
            </w:tcMar>
            <w:vAlign w:val="top"/>
          </w:tcPr>
          <w:p>
            <w:r>
              <w:rPr>
                <w:rFonts w:ascii="Calibri" w:cs="Calibri" w:eastAsia="Calibri" w:hAnsi="Calibri"/>
                <w:b/>
                <w:bCs/>
                <w:color w:val="8c6f1f"/>
                <w:sz w:val="20"/>
                <w:szCs w:val="20"/>
              </w:rPr>
              <w:t xml:space="preserve">SC8</w:t>
            </w:r>
          </w:p>
        </w:tc>
        <w:tc>
          <w:tcPr>
            <w:tcW w:type="dxa" w:w="2700"/>
            <w:shd w:fill="F7F5EF" w:val="clear"/>
            <w:tcMar>
              <w:top w:type="dxa" w:w="100"/>
              <w:left w:type="dxa" w:w="120"/>
              <w:bottom w:type="dxa" w:w="100"/>
              <w:right w:type="dxa" w:w="120"/>
            </w:tcMar>
            <w:vAlign w:val="top"/>
          </w:tcPr>
          <w:p>
            <w:r>
              <w:rPr>
                <w:rFonts w:ascii="Calibri" w:cs="Calibri" w:eastAsia="Calibri" w:hAnsi="Calibri"/>
                <w:i/>
                <w:iCs/>
                <w:sz w:val="19"/>
                <w:szCs w:val="19"/>
              </w:rPr>
              <w:t xml:space="preserve">How can a user recover their account if the initial confirmation email fails to send?</w:t>
            </w:r>
          </w:p>
        </w:tc>
        <w:tc>
          <w:tcPr>
            <w:tcW w:type="dxa" w:w="5500"/>
            <w:shd w:fill="F7F5EF" w:val="clear"/>
            <w:tcMar>
              <w:top w:type="dxa" w:w="100"/>
              <w:left w:type="dxa" w:w="120"/>
              <w:bottom w:type="dxa" w:w="100"/>
              <w:right w:type="dxa" w:w="120"/>
            </w:tcMar>
            <w:vAlign w:val="top"/>
          </w:tcPr>
          <w:p>
            <w:pPr>
              <w:spacing w:after="100"/>
            </w:pPr>
            <w:r>
              <w:rPr>
                <w:rFonts w:ascii="Calibri" w:cs="Calibri" w:eastAsia="Calibri" w:hAnsi="Calibri"/>
                <w:sz w:val="19"/>
                <w:szCs w:val="19"/>
              </w:rPr>
              <w:t xml:space="preserve">Not implemented. Signup shows a static “Check your email” screen after submitting, with no resend button and no recovery path in the interface. A full search of the codebase found no “resend confirmation email” route — if that email fails to arrive, the user currently has no in-app way to request it again or unblock their own account.</w:t>
            </w:r>
          </w:p>
        </w:tc>
        <w:tc>
          <w:tcPr>
            <w:tcW w:type="dxa" w:w="1350"/>
            <w:shd w:fill="F7F5EF" w:val="clear"/>
            <w:tcMar>
              <w:top w:type="dxa" w:w="100"/>
              <w:left w:type="dxa" w:w="120"/>
              <w:bottom w:type="dxa" w:w="100"/>
              <w:right w:type="dxa" w:w="120"/>
            </w:tcMar>
            <w:vAlign w:val="top"/>
          </w:tcPr>
          <w:p>
            <w:r>
              <w:rPr>
                <w:rFonts w:ascii="Calibri" w:cs="Calibri" w:eastAsia="Calibri" w:hAnsi="Calibri"/>
                <w:b/>
                <w:bCs/>
                <w:color w:val="b23b3b"/>
                <w:sz w:val="19"/>
                <w:szCs w:val="19"/>
              </w:rPr>
              <w:t xml:space="preserve">Not Implemented</w:t>
            </w:r>
          </w:p>
        </w:tc>
      </w:tr>
      <w:tr>
        <w:tc>
          <w:tcPr>
            <w:tcW w:type="dxa" w:w="600"/>
            <w:tcMar>
              <w:top w:type="dxa" w:w="100"/>
              <w:left w:type="dxa" w:w="120"/>
              <w:bottom w:type="dxa" w:w="100"/>
              <w:right w:type="dxa" w:w="120"/>
            </w:tcMar>
            <w:vAlign w:val="top"/>
          </w:tcPr>
          <w:p>
            <w:r>
              <w:rPr>
                <w:rFonts w:ascii="Calibri" w:cs="Calibri" w:eastAsia="Calibri" w:hAnsi="Calibri"/>
                <w:b/>
                <w:bCs/>
                <w:color w:val="8c6f1f"/>
                <w:sz w:val="20"/>
                <w:szCs w:val="20"/>
              </w:rPr>
              <w:t xml:space="preserve">H1</w:t>
            </w:r>
          </w:p>
        </w:tc>
        <w:tc>
          <w:tcPr>
            <w:tcW w:type="dxa" w:w="2700"/>
            <w:tcMar>
              <w:top w:type="dxa" w:w="100"/>
              <w:left w:type="dxa" w:w="120"/>
              <w:bottom w:type="dxa" w:w="100"/>
              <w:right w:type="dxa" w:w="120"/>
            </w:tcMar>
            <w:vAlign w:val="top"/>
          </w:tcPr>
          <w:p>
            <w:r>
              <w:rPr>
                <w:rFonts w:ascii="Calibri" w:cs="Calibri" w:eastAsia="Calibri" w:hAnsi="Calibri"/>
                <w:i/>
                <w:iCs/>
                <w:sz w:val="19"/>
                <w:szCs w:val="19"/>
              </w:rPr>
              <w:t xml:space="preserve">Is there an extra layer of security (e.g. encryption) protecting sensitive client data beyond standard database access rules?</w:t>
            </w:r>
          </w:p>
        </w:tc>
        <w:tc>
          <w:tcPr>
            <w:tcW w:type="dxa" w:w="5500"/>
            <w:tcMar>
              <w:top w:type="dxa" w:w="100"/>
              <w:left w:type="dxa" w:w="120"/>
              <w:bottom w:type="dxa" w:w="100"/>
              <w:right w:type="dxa" w:w="120"/>
            </w:tcMar>
            <w:vAlign w:val="top"/>
          </w:tcPr>
          <w:p>
            <w:pPr>
              <w:spacing w:after="100"/>
            </w:pPr>
            <w:r>
              <w:rPr>
                <w:rFonts w:ascii="Calibri" w:cs="Calibri" w:eastAsia="Calibri" w:hAnsi="Calibri"/>
                <w:sz w:val="19"/>
                <w:szCs w:val="19"/>
              </w:rPr>
              <w:t xml:space="preserve">Access control is implemented: the clients table (which holds fields such as is_soldier_or_crisis) is protected the same way every table in the system is — Postgres Row-Level Security policies gated on the signed-in user's role. All normal application traffic runs under the restricted, signed-in-user database role rather than an unrestricted service key, so RLS — not application code alone — is the real enforcement boundary.</w:t>
            </w:r>
          </w:p>
          <w:p>
            <w:pPr>
              <w:spacing w:after="100"/>
            </w:pPr>
            <w:r>
              <w:rPr>
                <w:rFonts w:ascii="Calibri" w:cs="Calibri" w:eastAsia="Calibri" w:hAnsi="Calibri"/>
                <w:sz w:val="19"/>
                <w:szCs w:val="19"/>
              </w:rPr>
              <w:t xml:space="preserve">Field-level encryption beyond the hosting platform's own defaults (encryption at rest, TLS in transit) is not implemented — no additional column-level encryption was found applied specifically to sensitive fields like is_soldier_or_crisis.</w:t>
            </w:r>
          </w:p>
        </w:tc>
        <w:tc>
          <w:tcPr>
            <w:tcW w:type="dxa" w:w="1350"/>
            <w:tcMar>
              <w:top w:type="dxa" w:w="100"/>
              <w:left w:type="dxa" w:w="120"/>
              <w:bottom w:type="dxa" w:w="100"/>
              <w:right w:type="dxa" w:w="120"/>
            </w:tcMar>
            <w:vAlign w:val="top"/>
          </w:tcPr>
          <w:p>
            <w:r>
              <w:rPr>
                <w:rFonts w:ascii="Calibri" w:cs="Calibri" w:eastAsia="Calibri" w:hAnsi="Calibri"/>
                <w:b/>
                <w:bCs/>
                <w:color w:val="8c6f1f"/>
                <w:sz w:val="19"/>
                <w:szCs w:val="19"/>
              </w:rPr>
              <w:t xml:space="preserve">Partial</w:t>
            </w:r>
          </w:p>
        </w:tc>
      </w:tr>
    </w:tbl>
    <w:p>
      <w:pPr>
        <w:pBdr>
          <w:top w:val="single" w:color="8c6f1f" w:sz="6" w:space="8"/>
          <w:left w:val="single" w:color="8c6f1f" w:sz="6" w:space="8"/>
          <w:right w:val="single" w:color="8c6f1f" w:sz="6" w:space="8"/>
        </w:pBdr>
        <w:shd w:fill="f5eeda" w:val="clear"/>
        <w:spacing w:after="0" w:before="320"/>
      </w:pPr>
      <w:r>
        <w:rPr>
          <w:rFonts w:ascii="Calibri" w:cs="Calibri" w:eastAsia="Calibri" w:hAnsi="Calibri"/>
          <w:b/>
          <w:bCs/>
          <w:color w:val="2b3140"/>
          <w:sz w:val="22"/>
          <w:szCs w:val="22"/>
        </w:rPr>
        <w:t xml:space="preserve">Open item: pending design direction</w:t>
      </w:r>
    </w:p>
    <w:p>
      <w:pPr>
        <w:pBdr>
          <w:bottom w:val="single" w:color="8c6f1f" w:sz="6" w:space="8"/>
          <w:left w:val="single" w:color="8c6f1f" w:sz="6" w:space="8"/>
          <w:right w:val="single" w:color="8c6f1f" w:sz="6" w:space="8"/>
        </w:pBdr>
        <w:shd w:fill="f5eeda" w:val="clear"/>
        <w:spacing w:after="100" w:before="100"/>
      </w:pPr>
      <w:r>
        <w:rPr>
          <w:rFonts w:ascii="Calibri" w:cs="Calibri" w:eastAsia="Calibri" w:hAnsi="Calibri"/>
          <w:sz w:val="21"/>
          <w:szCs w:val="21"/>
        </w:rPr>
        <w:t xml:space="preserve">The website is still awaiting Ilana O'Malley's desired structure and design direction. Several of the gaps noted above (particularly around client-facing messaging, safety flows, and page layout) may ultimately be shaped by that input, so items in this document should be read as the current, as-built state — not a final design decision — until that direction is received and incorporated.</w:t>
      </w:r>
    </w:p>
    <w:sectPr>
      <w:pgSz w:w="12240" w:h="15840"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2026-09-08T16:54:18.089Z</dcterms:created>
  <dcterms:modified xsi:type="dcterms:W3CDTF">2026-09-08T16:54:18.089Z</dcterms:modified>
</cp:coreProperties>
</file>

<file path=docProps/custom.xml><?xml version="1.0" encoding="utf-8"?>
<Properties xmlns="http://schemas.openxmlformats.org/officeDocument/2006/custom-properties" xmlns:vt="http://schemas.openxmlformats.org/officeDocument/2006/docPropsVTypes"/>
</file>