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Georgia" w:cs="Georgia" w:eastAsia="Georgia" w:hAnsi="Georgia"/>
          <w:b/>
          <w:bCs/>
          <w:color w:val="4A3728"/>
          <w:sz w:val="52"/>
          <w:szCs w:val="52"/>
        </w:rPr>
        <w:t xml:space="preserve">GEISE MOURA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A695A"/>
          <w:spacing w:val="120"/>
          <w:sz w:val="20"/>
          <w:szCs w:val="20"/>
        </w:rPr>
        <w:t xml:space="preserve">ARQUITETURA E INTERIORES</w:t>
      </w:r>
    </w:p>
    <w:p>
      <w:pPr>
        <w:spacing w:after="0" w:before="4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B7AA9A"/>
          <w:sz w:val="28"/>
          <w:szCs w:val="28"/>
        </w:rPr>
        <w:t xml:space="preserve">Guia de Identidade Visual</w:t>
      </w:r>
    </w:p>
    <w:p>
      <w:pPr>
        <w:spacing w:after="0" w:before="80"/>
      </w:pPr>
    </w:p>
    <w:p>
      <w:pPr>
        <w:pBdr>
          <w:top w:val="single" w:color="B7AA9A" w:sz="1" w:space="4"/>
          <w:bottom w:val="single" w:color="B7AA9A" w:sz="1" w:space="4"/>
        </w:pBdr>
        <w:spacing w:after="80" w:before="80"/>
        <w:jc w:val="center"/>
      </w:pPr>
      <w:r>
        <w:rPr>
          <w:rFonts w:ascii="Arial" w:cs="Arial" w:eastAsia="Arial" w:hAnsi="Arial"/>
          <w:color w:val="7A695A"/>
          <w:sz w:val="18"/>
          <w:szCs w:val="18"/>
        </w:rPr>
        <w:t xml:space="preserve">Uso interno  ·  Versão v3  ·  2026</w:t>
      </w:r>
    </w:p>
    <w:p>
      <w:pPr>
        <w:spacing w:after="0" w:before="200"/>
      </w:pPr>
    </w:p>
    <w:p>
      <w:pPr>
        <w:pBdr>
          <w:left w:val="single" w:color="C4B49A" w:sz="12" w:space="8"/>
        </w:pBdr>
        <w:spacing w:after="160" w:before="160"/>
        <w:ind w:left="360"/>
      </w:pPr>
      <w:r>
        <w:rPr>
          <w:rFonts w:ascii="Georgia" w:cs="Georgia" w:eastAsia="Georgia" w:hAnsi="Georgia"/>
          <w:i/>
          <w:iCs/>
          <w:color w:val="4A3728"/>
          <w:sz w:val="22"/>
          <w:szCs w:val="22"/>
        </w:rPr>
        <w:t xml:space="preserve">"Não é só sobre espaço. É sobre como a vida acontece dentro dele."</w:t>
      </w:r>
    </w:p>
    <w:p>
      <w:r>
        <w:br w:type="page"/>
      </w:r>
    </w:p>
    <w:p>
      <w:pPr>
        <w:pBdr>
          <w:bottom w:val="single" w:color="B7AA9A" w:sz="2" w:space="4"/>
        </w:pBdr>
        <w:spacing w:after="120" w:before="400"/>
      </w:pPr>
      <w:r>
        <w:rPr>
          <w:rFonts w:ascii="Georgia" w:cs="Georgia" w:eastAsia="Georgia" w:hAnsi="Georgia"/>
          <w:color w:val="C4B49A"/>
          <w:sz w:val="18"/>
          <w:szCs w:val="18"/>
        </w:rPr>
        <w:t xml:space="preserve">01</w:t>
      </w:r>
      <w:r>
        <w:rPr>
          <w:rFonts w:ascii="Georgia" w:cs="Georgia" w:eastAsia="Georgia" w:hAnsi="Georgia"/>
          <w:b/>
          <w:bCs/>
          <w:color w:val="4A3728"/>
          <w:sz w:val="18"/>
          <w:szCs w:val="18"/>
        </w:rPr>
        <w:t xml:space="preserve">  —  Essência e Propósito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Frase núcleo</w:t>
      </w:r>
    </w:p>
    <w:p>
      <w:pPr>
        <w:pBdr>
          <w:left w:val="single" w:color="C4B49A" w:sz="12" w:space="8"/>
        </w:pBdr>
        <w:spacing w:after="160" w:before="160"/>
        <w:ind w:left="360"/>
      </w:pPr>
      <w:r>
        <w:rPr>
          <w:rFonts w:ascii="Georgia" w:cs="Georgia" w:eastAsia="Georgia" w:hAnsi="Georgia"/>
          <w:i/>
          <w:iCs/>
          <w:color w:val="4A3728"/>
          <w:sz w:val="22"/>
          <w:szCs w:val="22"/>
        </w:rPr>
        <w:t xml:space="preserve">"Não é só sobre espaço. É sobre como a vida acontece dentro dele."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Definição completa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Arquitetura que considera quem habita o espaço — unindo técnica, sensibilidade e intenção para criar lares que favorecem paz, acolhimento e bem-estar.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O que move o trabalho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Paz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Aconchego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Relaxamento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Leveza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Conexão interna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Diferencial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A maioria dos profissionais projeta espaços. Geise Moura projeta considerando a vida, a rotina e a experiência de quem vai habitar. A estética importa, mas ela nasce como consequência de uma escuta sensível, técnica e intencional.</w:t>
      </w:r>
    </w:p>
    <w:p>
      <w:r>
        <w:br w:type="page"/>
      </w:r>
    </w:p>
    <w:p>
      <w:pPr>
        <w:pBdr>
          <w:bottom w:val="single" w:color="B7AA9A" w:sz="2" w:space="4"/>
        </w:pBdr>
        <w:spacing w:after="120" w:before="400"/>
      </w:pPr>
      <w:r>
        <w:rPr>
          <w:rFonts w:ascii="Georgia" w:cs="Georgia" w:eastAsia="Georgia" w:hAnsi="Georgia"/>
          <w:color w:val="C4B49A"/>
          <w:sz w:val="18"/>
          <w:szCs w:val="18"/>
        </w:rPr>
        <w:t xml:space="preserve">02</w:t>
      </w:r>
      <w:r>
        <w:rPr>
          <w:rFonts w:ascii="Georgia" w:cs="Georgia" w:eastAsia="Georgia" w:hAnsi="Georgia"/>
          <w:b/>
          <w:bCs/>
          <w:color w:val="4A3728"/>
          <w:sz w:val="18"/>
          <w:szCs w:val="18"/>
        </w:rPr>
        <w:t xml:space="preserve">  —  Posicionamento e Nicho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Para quem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Pessoas em fase de mudança consciente, que buscam qualidade de vida, conexão familiar e espiritualidade, e entendem que o ambiente onde vivem influencia quem elas são e como se sentem.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Perfil do cliente ideal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Valoriza autoconhecimento, rotina, espiritualidade ou escolhas mais conscientes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Valoriza silêncio, presença e qualidade de vida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Não quer impressionar visitas — quer se sentir bem quando chega em casa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A família é central na vida dessa pessoa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Toma decisões com intenção, não por impulso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Entende que o ambiente onde vive influencia como se sente, descansa, convive e realiza sua rotina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O que oferece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Projetos de arquitetura e interiores que traduzem o momento interno do cliente em espaços funcionais, acolhedores e coerentes com a vida que ele quer construir.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Fase de atendimento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Construção, reforma ou reposicionamento — em qualquer etapa, o ponto de entrada é sempre a vida, não a obra. O gatilho não é a obra. É a decisão de viver melhor.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Diferencial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Não parte apenas da estética. Parte da vida, da rotina e da experiência de quem vai habitar o espaço.</w:t>
      </w:r>
    </w:p>
    <w:p>
      <w:r>
        <w:br w:type="page"/>
      </w:r>
    </w:p>
    <w:p>
      <w:pPr>
        <w:pBdr>
          <w:bottom w:val="single" w:color="B7AA9A" w:sz="2" w:space="4"/>
        </w:pBdr>
        <w:spacing w:after="120" w:before="400"/>
      </w:pPr>
      <w:r>
        <w:rPr>
          <w:rFonts w:ascii="Georgia" w:cs="Georgia" w:eastAsia="Georgia" w:hAnsi="Georgia"/>
          <w:color w:val="C4B49A"/>
          <w:sz w:val="18"/>
          <w:szCs w:val="18"/>
        </w:rPr>
        <w:t xml:space="preserve">03</w:t>
      </w:r>
      <w:r>
        <w:rPr>
          <w:rFonts w:ascii="Georgia" w:cs="Georgia" w:eastAsia="Georgia" w:hAnsi="Georgia"/>
          <w:b/>
          <w:bCs/>
          <w:color w:val="4A3728"/>
          <w:sz w:val="18"/>
          <w:szCs w:val="18"/>
        </w:rPr>
        <w:t xml:space="preserve">  —  Paleta de Cores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Tons quentes, orgânicos e acolhedores. Transmitem paz, leveza e sofisticação discreta. A paleta começa na leveza etérea do off white e termina na profundidade quente do Bronze Urbano, com o Dourado Champanhe como assinatura discreta.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7"/>
        <w:gridCol w:w="1287"/>
        <w:gridCol w:w="1287"/>
        <w:gridCol w:w="1287"/>
        <w:gridCol w:w="1287"/>
        <w:gridCol w:w="1287"/>
        <w:gridCol w:w="1304"/>
      </w:tblGrid>
      <w:tr>
        <w:tc>
          <w:tcPr>
            <w:tcW w:type="dxa" w:w="12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F5F1EB" w:val="clear"/>
              <w:spacing w:after="40" w:before="0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Off white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95A"/>
                <w:sz w:val="14"/>
                <w:szCs w:val="14"/>
              </w:rPr>
              <w:t xml:space="preserve">#f5f1eb</w:t>
            </w:r>
          </w:p>
          <w:p/>
        </w:tc>
        <w:tc>
          <w:tcPr>
            <w:tcW w:type="dxa" w:w="12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D7D0C8" w:val="clear"/>
              <w:spacing w:after="40" w:before="0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Greige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95A"/>
                <w:sz w:val="14"/>
                <w:szCs w:val="14"/>
              </w:rPr>
              <w:t xml:space="preserve">#d7d0c8</w:t>
            </w:r>
          </w:p>
          <w:p/>
        </w:tc>
        <w:tc>
          <w:tcPr>
            <w:tcW w:type="dxa" w:w="12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B7AA9A" w:val="clear"/>
              <w:spacing w:after="40" w:before="0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Fendi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95A"/>
                <w:sz w:val="14"/>
                <w:szCs w:val="14"/>
              </w:rPr>
              <w:t xml:space="preserve">#b7aa9a</w:t>
            </w:r>
          </w:p>
          <w:p/>
        </w:tc>
        <w:tc>
          <w:tcPr>
            <w:tcW w:type="dxa" w:w="12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7A695A" w:val="clear"/>
              <w:spacing w:after="40" w:before="0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Café suave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95A"/>
                <w:sz w:val="14"/>
                <w:szCs w:val="14"/>
              </w:rPr>
              <w:t xml:space="preserve">#7a695a</w:t>
            </w:r>
          </w:p>
          <w:p/>
        </w:tc>
        <w:tc>
          <w:tcPr>
            <w:tcW w:type="dxa" w:w="12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4A3728" w:val="clear"/>
              <w:spacing w:after="40" w:before="0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Bronze urbano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95A"/>
                <w:sz w:val="14"/>
                <w:szCs w:val="14"/>
              </w:rPr>
              <w:t xml:space="preserve">#4a3728</w:t>
            </w:r>
          </w:p>
          <w:p/>
        </w:tc>
        <w:tc>
          <w:tcPr>
            <w:tcW w:type="dxa" w:w="12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D1BE94" w:val="clear"/>
              <w:spacing w:after="40" w:before="0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Dourado champanhe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95A"/>
                <w:sz w:val="14"/>
                <w:szCs w:val="14"/>
              </w:rPr>
              <w:t xml:space="preserve">#d1be94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7AA9A"/>
                <w:sz w:val="13"/>
                <w:szCs w:val="13"/>
              </w:rPr>
              <w:t xml:space="preserve">Fosco no digital</w:t>
            </w:r>
          </w:p>
        </w:tc>
        <w:tc>
          <w:tcPr>
            <w:tcW w:type="dxa" w:w="12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hd w:fill="C4B49A" w:val="clear"/>
              <w:spacing w:after="40" w:before="0"/>
            </w:pPr>
            <w:r>
              <w:rPr>
                <w:sz w:val="40"/>
                <w:szCs w:val="4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Champagne Mica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A695A"/>
                <w:sz w:val="14"/>
                <w:szCs w:val="14"/>
              </w:rPr>
              <w:t xml:space="preserve">#c4b49a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B7AA9A"/>
                <w:sz w:val="13"/>
                <w:szCs w:val="13"/>
              </w:rPr>
              <w:t xml:space="preserve">Metalizado no físico</w:t>
            </w:r>
          </w:p>
        </w:tc>
      </w:tr>
    </w:tbl>
    <w:p>
      <w:pPr>
        <w:spacing w:after="0" w:before="1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Como usar cada cor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Off white e Greige — fundos, espaço em branco, respiração visual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Fendi e Café suave — textos secundários, bordas, elementos de apoio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Bronze urbano — títulos, âncora escura, peso e profundidade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Dourado champanhe — detalhes especiais, assinatura, toque de sofisticação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Verificações práticas antes de aplicar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Contraste do Bronze Urbano sobre Off White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Dourado Champanhe no Canva, impresso e no Instagram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Champagne Mica em material físico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Aplicação em posts reais, proposta comercial e cartão de visita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Nota sobre o metálico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O Dourado Champanhe é uma cor, duas expressões: fosco (#D1BE94) no digital e impresso; Champagne Mica metalizado em materiais físicos como cartão de visita, carimbo e brindes.</w:t>
      </w:r>
    </w:p>
    <w:p>
      <w:r>
        <w:br w:type="page"/>
      </w:r>
    </w:p>
    <w:p>
      <w:pPr>
        <w:pBdr>
          <w:bottom w:val="single" w:color="B7AA9A" w:sz="2" w:space="4"/>
        </w:pBdr>
        <w:spacing w:after="120" w:before="400"/>
      </w:pPr>
      <w:r>
        <w:rPr>
          <w:rFonts w:ascii="Georgia" w:cs="Georgia" w:eastAsia="Georgia" w:hAnsi="Georgia"/>
          <w:color w:val="C4B49A"/>
          <w:sz w:val="18"/>
          <w:szCs w:val="18"/>
        </w:rPr>
        <w:t xml:space="preserve">04</w:t>
      </w:r>
      <w:r>
        <w:rPr>
          <w:rFonts w:ascii="Georgia" w:cs="Georgia" w:eastAsia="Georgia" w:hAnsi="Georgia"/>
          <w:b/>
          <w:bCs/>
          <w:color w:val="4A3728"/>
          <w:sz w:val="18"/>
          <w:szCs w:val="18"/>
        </w:rPr>
        <w:t xml:space="preserve">  —  Tipografia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Sistema com quatro níveis bem definidos — cada um com função específica dentro da comunicação da marca.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D7D0C8" w:sz="1"/>
              <w:left w:val="single" w:color="D7D0C8" w:sz="1"/>
              <w:bottom w:val="single" w:color="D7D0C8" w:sz="1"/>
              <w:right w:val="single" w:color="D7D0C8" w:sz="1"/>
            </w:tcBorders>
            <w:shd w:fill="F5F1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95A"/>
                <w:sz w:val="17"/>
                <w:szCs w:val="17"/>
              </w:rPr>
              <w:t xml:space="preserve">Logo principal</w:t>
            </w:r>
          </w:p>
          <w:p>
            <w:r>
              <w:rPr>
                <w:rFonts w:ascii="Arial" w:cs="Arial" w:eastAsia="Arial" w:hAnsi="Arial"/>
                <w:b/>
                <w:bCs/>
                <w:color w:val="4A3728"/>
                <w:sz w:val="19"/>
                <w:szCs w:val="19"/>
              </w:rPr>
              <w:t xml:space="preserve">The Seasons Leve</w:t>
            </w:r>
          </w:p>
          <w:p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Espaçamento amplo</w:t>
            </w:r>
          </w:p>
          <w:p>
            <w:r>
              <w:rPr>
                <w:rFonts w:ascii="Arial" w:cs="Arial" w:eastAsia="Arial" w:hAnsi="Arial"/>
                <w:i/>
                <w:iCs/>
                <w:color w:val="7A695A"/>
                <w:sz w:val="15"/>
                <w:szCs w:val="15"/>
              </w:rPr>
              <w:t xml:space="preserve">Nome Geise Moura</w:t>
            </w:r>
          </w:p>
        </w:tc>
        <w:tc>
          <w:tcPr>
            <w:tcW w:type="dxa" w:w="2256"/>
            <w:tcBorders>
              <w:top w:val="single" w:color="D7D0C8" w:sz="1"/>
              <w:left w:val="single" w:color="D7D0C8" w:sz="1"/>
              <w:bottom w:val="single" w:color="D7D0C8" w:sz="1"/>
              <w:right w:val="single" w:color="D7D0C8" w:sz="1"/>
            </w:tcBorders>
            <w:shd w:fill="F5F1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95A"/>
                <w:sz w:val="17"/>
                <w:szCs w:val="17"/>
              </w:rPr>
              <w:t xml:space="preserve">Subtítulo da logo</w:t>
            </w:r>
          </w:p>
          <w:p>
            <w:r>
              <w:rPr>
                <w:rFonts w:ascii="Arial" w:cs="Arial" w:eastAsia="Arial" w:hAnsi="Arial"/>
                <w:b/>
                <w:bCs/>
                <w:color w:val="4A3728"/>
                <w:sz w:val="19"/>
                <w:szCs w:val="19"/>
              </w:rPr>
              <w:t xml:space="preserve">Montserrat Regular</w:t>
            </w:r>
          </w:p>
          <w:p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Espaçamento padrão: 200
Variação: 180 a 220
Linhas 1.0–1.1</w:t>
            </w:r>
          </w:p>
          <w:p>
            <w:r>
              <w:rPr>
                <w:rFonts w:ascii="Arial" w:cs="Arial" w:eastAsia="Arial" w:hAnsi="Arial"/>
                <w:i/>
                <w:iCs/>
                <w:color w:val="7A695A"/>
                <w:sz w:val="15"/>
                <w:szCs w:val="15"/>
              </w:rPr>
              <w:t xml:space="preserve">ARQUITETURA E INTERIORES</w:t>
            </w:r>
          </w:p>
        </w:tc>
        <w:tc>
          <w:tcPr>
            <w:tcW w:type="dxa" w:w="2256"/>
            <w:tcBorders>
              <w:top w:val="single" w:color="D7D0C8" w:sz="1"/>
              <w:left w:val="single" w:color="D7D0C8" w:sz="1"/>
              <w:bottom w:val="single" w:color="D7D0C8" w:sz="1"/>
              <w:right w:val="single" w:color="D7D0C8" w:sz="1"/>
            </w:tcBorders>
            <w:shd w:fill="F5F1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95A"/>
                <w:sz w:val="17"/>
                <w:szCs w:val="17"/>
              </w:rPr>
              <w:t xml:space="preserve">Textos corridos</w:t>
            </w:r>
          </w:p>
          <w:p>
            <w:r>
              <w:rPr>
                <w:rFonts w:ascii="Arial" w:cs="Arial" w:eastAsia="Arial" w:hAnsi="Arial"/>
                <w:b/>
                <w:bCs/>
                <w:color w:val="4A3728"/>
                <w:sz w:val="19"/>
                <w:szCs w:val="19"/>
              </w:rPr>
              <w:t xml:space="preserve">Montserrat Regular</w:t>
            </w:r>
          </w:p>
          <w:p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Tamanho 14–15
Espaçamento 0
Linhas 1.4</w:t>
            </w:r>
          </w:p>
          <w:p>
            <w:r>
              <w:rPr>
                <w:rFonts w:ascii="Arial" w:cs="Arial" w:eastAsia="Arial" w:hAnsi="Arial"/>
                <w:i/>
                <w:iCs/>
                <w:color w:val="7A695A"/>
                <w:sz w:val="15"/>
                <w:szCs w:val="15"/>
              </w:rPr>
              <w:t xml:space="preserve">Legendas, propostas, posts educativos</w:t>
            </w:r>
          </w:p>
        </w:tc>
        <w:tc>
          <w:tcPr>
            <w:tcW w:type="dxa" w:w="2256"/>
            <w:tcBorders>
              <w:top w:val="single" w:color="D7D0C8" w:sz="1"/>
              <w:left w:val="single" w:color="D7D0C8" w:sz="1"/>
              <w:bottom w:val="single" w:color="D7D0C8" w:sz="1"/>
              <w:right w:val="single" w:color="D7D0C8" w:sz="1"/>
            </w:tcBorders>
            <w:shd w:fill="F5F1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A695A"/>
                <w:sz w:val="17"/>
                <w:szCs w:val="17"/>
              </w:rPr>
              <w:t xml:space="preserve">Destaques em posts</w:t>
            </w:r>
          </w:p>
          <w:p>
            <w:r>
              <w:rPr>
                <w:rFonts w:ascii="Arial" w:cs="Arial" w:eastAsia="Arial" w:hAnsi="Arial"/>
                <w:b/>
                <w:bCs/>
                <w:color w:val="4A3728"/>
                <w:sz w:val="19"/>
                <w:szCs w:val="19"/>
              </w:rPr>
              <w:t xml:space="preserve">Montserrat Médio / Seminegrito</w:t>
            </w:r>
          </w:p>
          <w:p>
            <w:r>
              <w:rPr>
                <w:rFonts w:ascii="Arial" w:cs="Arial" w:eastAsia="Arial" w:hAnsi="Arial"/>
                <w:color w:val="2C2C2A"/>
                <w:sz w:val="16"/>
                <w:szCs w:val="16"/>
              </w:rPr>
              <w:t xml:space="preserve">Tamanho 22–32
Espaçamento 20–60
Linhas 1.1</w:t>
            </w:r>
          </w:p>
          <w:p>
            <w:r>
              <w:rPr>
                <w:rFonts w:ascii="Arial" w:cs="Arial" w:eastAsia="Arial" w:hAnsi="Arial"/>
                <w:i/>
                <w:iCs/>
                <w:color w:val="7A695A"/>
                <w:sz w:val="15"/>
                <w:szCs w:val="15"/>
              </w:rPr>
              <w:t xml:space="preserve">Frases de destaque, títulos de posts</w:t>
            </w:r>
          </w:p>
        </w:tc>
      </w:tr>
    </w:tbl>
    <w:p>
      <w:pPr>
        <w:spacing w:after="0" w:before="1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Fonte cursiva — Amsterdam Four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Uso restrito a detalhes especiais: assinatura pessoal, capas especiais, frases curtas pontuais. Espaçamento entre letras 0, linhas 1.0–1.2. Não usar em textos corridos ou legendas.</w:t>
      </w:r>
    </w:p>
    <w:p>
      <w:pPr>
        <w:pBdr>
          <w:left w:val="single" w:color="C4B49A" w:sz="6" w:space="6"/>
        </w:pBdr>
        <w:shd w:fill="F5F1EB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7A695A"/>
          <w:sz w:val="17"/>
          <w:szCs w:val="17"/>
        </w:rPr>
        <w:t xml:space="preserve">A cursiva é um toque, não uma fonte de comunicação. Quanto menos aparecer, mais impacto terá.</w:t>
      </w:r>
    </w:p>
    <w:p>
      <w:r>
        <w:br w:type="page"/>
      </w:r>
    </w:p>
    <w:p>
      <w:pPr>
        <w:pBdr>
          <w:bottom w:val="single" w:color="B7AA9A" w:sz="2" w:space="4"/>
        </w:pBdr>
        <w:spacing w:after="120" w:before="400"/>
      </w:pPr>
      <w:r>
        <w:rPr>
          <w:rFonts w:ascii="Georgia" w:cs="Georgia" w:eastAsia="Georgia" w:hAnsi="Georgia"/>
          <w:color w:val="C4B49A"/>
          <w:sz w:val="18"/>
          <w:szCs w:val="18"/>
        </w:rPr>
        <w:t xml:space="preserve">05</w:t>
      </w:r>
      <w:r>
        <w:rPr>
          <w:rFonts w:ascii="Georgia" w:cs="Georgia" w:eastAsia="Georgia" w:hAnsi="Georgia"/>
          <w:b/>
          <w:bCs/>
          <w:color w:val="4A3728"/>
          <w:sz w:val="18"/>
          <w:szCs w:val="18"/>
        </w:rPr>
        <w:t xml:space="preserve">  —  Símbolo e Logotipo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Em desenvolvimento.</w:t>
      </w:r>
    </w:p>
    <w:p>
      <w:pPr>
        <w:spacing w:after="0" w:before="60"/>
      </w:pPr>
    </w:p>
    <w:p>
      <w:pPr>
        <w:pBdr>
          <w:left w:val="single" w:color="C4B49A" w:sz="6" w:space="6"/>
        </w:pBdr>
        <w:shd w:fill="F5F1EB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7A695A"/>
          <w:sz w:val="17"/>
          <w:szCs w:val="17"/>
        </w:rPr>
        <w:t xml:space="preserve">O símbolo será criado após a consolidação dos primeiros materiais e posts. O logotipo provisório é o nome Geise Moura em The Seasons Leve, com subtítulo em Montserrat Regular.</w:t>
      </w:r>
    </w:p>
    <w:p>
      <w:r>
        <w:br w:type="page"/>
      </w:r>
    </w:p>
    <w:p>
      <w:pPr>
        <w:pBdr>
          <w:bottom w:val="single" w:color="B7AA9A" w:sz="2" w:space="4"/>
        </w:pBdr>
        <w:spacing w:after="120" w:before="400"/>
      </w:pPr>
      <w:r>
        <w:rPr>
          <w:rFonts w:ascii="Georgia" w:cs="Georgia" w:eastAsia="Georgia" w:hAnsi="Georgia"/>
          <w:color w:val="C4B49A"/>
          <w:sz w:val="18"/>
          <w:szCs w:val="18"/>
        </w:rPr>
        <w:t xml:space="preserve">06</w:t>
      </w:r>
      <w:r>
        <w:rPr>
          <w:rFonts w:ascii="Georgia" w:cs="Georgia" w:eastAsia="Georgia" w:hAnsi="Georgia"/>
          <w:b/>
          <w:bCs/>
          <w:color w:val="4A3728"/>
          <w:sz w:val="18"/>
          <w:szCs w:val="18"/>
        </w:rPr>
        <w:t xml:space="preserve">  —  Tom de Voz e Linguagem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O que guia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O cliente é sempre o protagonista. O projeto é consequência da vida dele. Escreva sempre colocando o cliente como centro — o projeto é o meio, a vida dele é o tema.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Como fala por contexto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Posts de projeto — narrativa e poética. Fala da experiência, da família, do sentimento.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Posts educativos — direta e objetiva. Ensina, explica, orienta.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Propostas e documentos — técnica e profissional, mas com calor humano.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Stories e bastidores — leve, próxima, pessoal.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Frases da marca</w:t>
      </w:r>
    </w:p>
    <w:p>
      <w:pPr>
        <w:spacing w:after="0" w:before="40"/>
      </w:pP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Frase núcleo:</w:t>
      </w:r>
    </w:p>
    <w:p>
      <w:pPr>
        <w:pBdr>
          <w:left w:val="single" w:color="C4B49A" w:sz="12" w:space="8"/>
        </w:pBdr>
        <w:spacing w:after="160" w:before="160"/>
        <w:ind w:left="360"/>
      </w:pPr>
      <w:r>
        <w:rPr>
          <w:rFonts w:ascii="Georgia" w:cs="Georgia" w:eastAsia="Georgia" w:hAnsi="Georgia"/>
          <w:i/>
          <w:iCs/>
          <w:color w:val="4A3728"/>
          <w:sz w:val="22"/>
          <w:szCs w:val="22"/>
        </w:rPr>
        <w:t xml:space="preserve">"Não é só sobre espaço. É sobre como a vida acontece dentro dele."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Frase de apoio:</w:t>
      </w:r>
    </w:p>
    <w:p>
      <w:pPr>
        <w:pBdr>
          <w:left w:val="single" w:color="C4B49A" w:sz="12" w:space="8"/>
        </w:pBdr>
        <w:spacing w:after="160" w:before="160"/>
        <w:ind w:left="360"/>
      </w:pPr>
      <w:r>
        <w:rPr>
          <w:rFonts w:ascii="Georgia" w:cs="Georgia" w:eastAsia="Georgia" w:hAnsi="Georgia"/>
          <w:i/>
          <w:iCs/>
          <w:color w:val="4A3728"/>
          <w:sz w:val="22"/>
          <w:szCs w:val="22"/>
        </w:rPr>
        <w:t xml:space="preserve">"O espaço que você habita conta quem você é."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Possível tagline comercial:</w:t>
      </w:r>
    </w:p>
    <w:p>
      <w:pPr>
        <w:pBdr>
          <w:left w:val="single" w:color="C4B49A" w:sz="12" w:space="8"/>
        </w:pBdr>
        <w:spacing w:after="160" w:before="160"/>
        <w:ind w:left="360"/>
      </w:pPr>
      <w:r>
        <w:rPr>
          <w:rFonts w:ascii="Georgia" w:cs="Georgia" w:eastAsia="Georgia" w:hAnsi="Georgia"/>
          <w:i/>
          <w:iCs/>
          <w:color w:val="4A3728"/>
          <w:sz w:val="22"/>
          <w:szCs w:val="22"/>
        </w:rPr>
        <w:t xml:space="preserve">"Arquitetura para a vida que acontece dentro dos espaços."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Vocabulário da marca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Casa com alma  ·  Arquitetura que respeita quem vive nela  ·  Antes da planta, existe uma conversa  ·  Projetado para a sua vida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Evitar como promessa principal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Incrível  ·  Transformando sonhos em realidade  ·  Soluções em arquitetura  ·  Exclusividade e sofisticação  ·  Projetos exclusivos</w:t>
      </w:r>
    </w:p>
    <w:p>
      <w:pPr>
        <w:spacing w:after="0" w:before="80"/>
      </w:pPr>
    </w:p>
    <w:p>
      <w:pPr>
        <w:pBdr>
          <w:left w:val="single" w:color="C4B49A" w:sz="6" w:space="6"/>
        </w:pBdr>
        <w:shd w:fill="F5F1EB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7A695A"/>
          <w:sz w:val="17"/>
          <w:szCs w:val="17"/>
        </w:rPr>
        <w:t xml:space="preserve">'Alto padrão' pode aparecer em contextos técnicos ou comerciais específicos, mas não como promessa central da marca.</w:t>
      </w:r>
    </w:p>
    <w:p>
      <w:r>
        <w:br w:type="page"/>
      </w:r>
    </w:p>
    <w:p>
      <w:pPr>
        <w:pBdr>
          <w:bottom w:val="single" w:color="B7AA9A" w:sz="2" w:space="4"/>
        </w:pBdr>
        <w:spacing w:after="120" w:before="400"/>
      </w:pPr>
      <w:r>
        <w:rPr>
          <w:rFonts w:ascii="Georgia" w:cs="Georgia" w:eastAsia="Georgia" w:hAnsi="Georgia"/>
          <w:color w:val="C4B49A"/>
          <w:sz w:val="18"/>
          <w:szCs w:val="18"/>
        </w:rPr>
        <w:t xml:space="preserve">07</w:t>
      </w:r>
      <w:r>
        <w:rPr>
          <w:rFonts w:ascii="Georgia" w:cs="Georgia" w:eastAsia="Georgia" w:hAnsi="Georgia"/>
          <w:b/>
          <w:bCs/>
          <w:color w:val="4A3728"/>
          <w:sz w:val="18"/>
          <w:szCs w:val="18"/>
        </w:rPr>
        <w:t xml:space="preserve">  —  Direção de Imagem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Princípio geral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Mostrar como realmente é — só que bem fotografado. Autenticidade com qualidade de captura.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Fotos pessoais por formato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Stories — livre entre obra, ambiente inspirador e espaço pessoal. Humana e próxima.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Feed técnico — estúdio ou obra, mais estruturada e profissional.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Feed de tendência — você dentro de ambientes que admira.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Estética das fotos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Luz natural, ambiente real, sem filtros pesados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Sem cenários montados ou luz artificial óbvia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Cores alinhadas com a paleta — tons quentes e neutros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Fotos de projeto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Arquiteta presente no espaço, criando escala, proximidade e percepção real do ambiente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Aplicar quando possível em projetos reais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Renders — inserir silhuetas ou figuras de escala quando possível</w:t>
      </w:r>
    </w:p>
    <w:p>
      <w:r>
        <w:br w:type="page"/>
      </w:r>
    </w:p>
    <w:p>
      <w:pPr>
        <w:pBdr>
          <w:bottom w:val="single" w:color="B7AA9A" w:sz="2" w:space="4"/>
        </w:pBdr>
        <w:spacing w:after="120" w:before="400"/>
      </w:pPr>
      <w:r>
        <w:rPr>
          <w:rFonts w:ascii="Georgia" w:cs="Georgia" w:eastAsia="Georgia" w:hAnsi="Georgia"/>
          <w:color w:val="C4B49A"/>
          <w:sz w:val="18"/>
          <w:szCs w:val="18"/>
        </w:rPr>
        <w:t xml:space="preserve">08</w:t>
      </w:r>
      <w:r>
        <w:rPr>
          <w:rFonts w:ascii="Georgia" w:cs="Georgia" w:eastAsia="Georgia" w:hAnsi="Georgia"/>
          <w:b/>
          <w:bCs/>
          <w:color w:val="4A3728"/>
          <w:sz w:val="18"/>
          <w:szCs w:val="18"/>
        </w:rPr>
        <w:t xml:space="preserve">  —  Grid e Estética do Feed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Estratégia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Recomeço sem apagar o histórico. O conteúdo existente permanece como registro da jornada. Os posts novos seguem a nova identidade.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Direção do feed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Serve como orientação, não como regra rígida. Ajuste conforme o momento e os projetos disponíveis.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~40% — projetos e renders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~30% — conteúdo educativo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~20% — você e bastidores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~10% — inspiração e referências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Regra visual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Todo post respira a paleta — Off white, Greige, Bronze Urbano. Nada de cores vibrantes que quebrem a coerência. Cada post funciona sozinho e conversa com os demais.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Ferramentas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Criação — Canva e CapCut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Planejamento de grid — Preview ou Unum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Fluxo: cria no Canva → edita no CapCut → organiza no Preview → publica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Reaproveitamento de conteúdo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color w:val="2C2C2A"/>
          <w:sz w:val="20"/>
          <w:szCs w:val="20"/>
        </w:rPr>
        <w:t xml:space="preserve">Projetos, renders e fotos de viagens de arquitetura existentes podem ser reapresentados com nova linguagem visual, nova tipografia e novo tom de voz nas legendas.</w:t>
      </w:r>
    </w:p>
    <w:p>
      <w:r>
        <w:br w:type="page"/>
      </w:r>
    </w:p>
    <w:p>
      <w:pPr>
        <w:pBdr>
          <w:bottom w:val="single" w:color="B7AA9A" w:sz="2" w:space="4"/>
        </w:pBdr>
        <w:spacing w:after="120" w:before="400"/>
      </w:pPr>
      <w:r>
        <w:rPr>
          <w:rFonts w:ascii="Georgia" w:cs="Georgia" w:eastAsia="Georgia" w:hAnsi="Georgia"/>
          <w:color w:val="C4B49A"/>
          <w:sz w:val="18"/>
          <w:szCs w:val="18"/>
        </w:rPr>
        <w:t xml:space="preserve">→</w:t>
      </w:r>
      <w:r>
        <w:rPr>
          <w:rFonts w:ascii="Georgia" w:cs="Georgia" w:eastAsia="Georgia" w:hAnsi="Georgia"/>
          <w:b/>
          <w:bCs/>
          <w:color w:val="4A3728"/>
          <w:sz w:val="18"/>
          <w:szCs w:val="18"/>
        </w:rPr>
        <w:t xml:space="preserve">  —  Próximos Passos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Itens fechados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01 — Essência e propósito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02 — Posicionamento e nicho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03 — Paleta de cores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04 — Tipografia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06 — Tom de voz e linguagem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07 — Direção de imagem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08 — Grid e feed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Em desenvolvimento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05 — Símbolo e logotipo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Próxima etapa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09 — Tagline comercial — candidatas listadas no item 06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10 — Papelaria e aplicações — cartão, proposta, assinatura de e-mail, templates</w:t>
      </w:r>
    </w:p>
    <w:p>
      <w:pPr>
        <w:spacing w:after="0" w:before="8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7A695A"/>
          <w:sz w:val="18"/>
          <w:szCs w:val="18"/>
        </w:rPr>
        <w:t xml:space="preserve">Cowork — ação imediata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Usar projetos da pasta para montar os 9 primeiros posts do novo feed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Aplicar paleta, tipografia e tom de voz definidos neste guia</w:t>
      </w:r>
    </w:p>
    <w:p>
      <w:pPr>
        <w:pStyle w:val="ListParagraph"/>
        <w:numPr>
          <w:ilvl w:val="0"/>
          <w:numId w:val="2"/>
        </w:numPr>
        <w:spacing w:after="0" w:before="40"/>
      </w:pPr>
      <w:r>
        <w:rPr>
          <w:rFonts w:ascii="Arial" w:cs="Arial" w:eastAsia="Arial" w:hAnsi="Arial"/>
          <w:color w:val="2C2C2A"/>
          <w:sz w:val="19"/>
          <w:szCs w:val="19"/>
        </w:rPr>
        <w:t xml:space="preserve">Cada post com o cliente como protagonista — o projeto é a consequência</w:t>
      </w:r>
    </w:p>
    <w:p>
      <w:pPr>
        <w:spacing w:after="0" w:before="160"/>
      </w:pPr>
    </w:p>
    <w:p>
      <w:pPr>
        <w:pBdr>
          <w:left w:val="single" w:color="C4B49A" w:sz="12" w:space="8"/>
        </w:pBdr>
        <w:spacing w:after="160" w:before="160"/>
        <w:ind w:left="360"/>
      </w:pPr>
      <w:r>
        <w:rPr>
          <w:rFonts w:ascii="Georgia" w:cs="Georgia" w:eastAsia="Georgia" w:hAnsi="Georgia"/>
          <w:i/>
          <w:iCs/>
          <w:color w:val="4A3728"/>
          <w:sz w:val="22"/>
          <w:szCs w:val="22"/>
        </w:rPr>
        <w:t xml:space="preserve">"Não é só sobre espaço. É sobre como a vida acontece dentro dele."</w:t>
      </w:r>
    </w:p>
    <w:sectPr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2026-06-17T00:37:13.990Z</dcterms:created>
  <dcterms:modified xsi:type="dcterms:W3CDTF">2026-06-17T00:37:14.002Z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