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9551" w14:textId="401DBB98" w:rsidR="009C23B9" w:rsidRDefault="002039F1">
      <w:r>
        <w:t xml:space="preserve">George Smith </w:t>
      </w:r>
    </w:p>
    <w:p w14:paraId="4FB29FB8" w14:textId="6219D57F" w:rsidR="0077095B" w:rsidRDefault="0077095B">
      <w:r>
        <w:t xml:space="preserve">Final Project Report </w:t>
      </w:r>
    </w:p>
    <w:p w14:paraId="5326D5C0" w14:textId="77777777" w:rsidR="009C23B9" w:rsidRDefault="002039F1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Introduction </w:t>
      </w:r>
    </w:p>
    <w:p w14:paraId="013D129E" w14:textId="3E706311" w:rsidR="00470C46" w:rsidRPr="00960061" w:rsidRDefault="002039F1" w:rsidP="004A731C">
      <w:pPr>
        <w:rPr>
          <w:rFonts w:eastAsia="Arial"/>
        </w:rPr>
      </w:pPr>
      <w:r w:rsidRPr="00960061">
        <w:rPr>
          <w:rFonts w:eastAsia="Arial"/>
        </w:rPr>
        <w:t xml:space="preserve">The purpose of this </w:t>
      </w:r>
      <w:r w:rsidR="0077095B" w:rsidRPr="00960061">
        <w:rPr>
          <w:rFonts w:eastAsia="Arial"/>
        </w:rPr>
        <w:t xml:space="preserve">project </w:t>
      </w:r>
      <w:r w:rsidR="00960061">
        <w:rPr>
          <w:rFonts w:eastAsia="Arial"/>
        </w:rPr>
        <w:t xml:space="preserve">is </w:t>
      </w:r>
      <w:r w:rsidRPr="00960061">
        <w:rPr>
          <w:rFonts w:eastAsia="Arial"/>
        </w:rPr>
        <w:t>to</w:t>
      </w:r>
      <w:r w:rsidR="0065456F" w:rsidRPr="00960061">
        <w:rPr>
          <w:rFonts w:eastAsia="Arial"/>
        </w:rPr>
        <w:t xml:space="preserve"> analyze the financial metrics of previously bankrupt and current S&amp;P 500 companies</w:t>
      </w:r>
      <w:r w:rsidR="00960061">
        <w:rPr>
          <w:rFonts w:eastAsia="Arial"/>
        </w:rPr>
        <w:t>. As part of this analysis</w:t>
      </w:r>
      <w:r w:rsidR="00A36AD8">
        <w:rPr>
          <w:rFonts w:eastAsia="Arial"/>
        </w:rPr>
        <w:t>,</w:t>
      </w:r>
      <w:r w:rsidR="00960061">
        <w:rPr>
          <w:rFonts w:eastAsia="Arial"/>
        </w:rPr>
        <w:t xml:space="preserve"> </w:t>
      </w:r>
      <w:r w:rsidR="004F6E53" w:rsidRPr="00960061">
        <w:rPr>
          <w:rFonts w:eastAsia="Arial"/>
        </w:rPr>
        <w:t>key financial metrics that influence if a company is likely to go bankrupt</w:t>
      </w:r>
      <w:r w:rsidR="00960061">
        <w:rPr>
          <w:rFonts w:eastAsia="Arial"/>
        </w:rPr>
        <w:t xml:space="preserve"> will be identified and analyzed</w:t>
      </w:r>
      <w:r w:rsidR="004F6E53" w:rsidRPr="00960061">
        <w:rPr>
          <w:rFonts w:eastAsia="Arial"/>
        </w:rPr>
        <w:t xml:space="preserve">. </w:t>
      </w:r>
      <w:r w:rsidR="00960061">
        <w:rPr>
          <w:rFonts w:eastAsia="Arial"/>
        </w:rPr>
        <w:t xml:space="preserve">Additionally, financial metrics that do not influence bankruptcy will also be identified. </w:t>
      </w:r>
    </w:p>
    <w:p w14:paraId="7CBEFD7D" w14:textId="77777777" w:rsidR="004A731C" w:rsidRPr="004A731C" w:rsidRDefault="004A731C" w:rsidP="004A731C">
      <w:pPr>
        <w:rPr>
          <w:rFonts w:ascii="Arial" w:eastAsia="Arial" w:hAnsi="Arial" w:cs="Arial"/>
        </w:rPr>
      </w:pPr>
    </w:p>
    <w:p w14:paraId="09971021" w14:textId="02333320" w:rsidR="009C23B9" w:rsidRDefault="002039F1">
      <w:pPr>
        <w:pStyle w:val="Heading2"/>
      </w:pPr>
      <w:r>
        <w:t xml:space="preserve">Data </w:t>
      </w:r>
    </w:p>
    <w:p w14:paraId="3E834BE4" w14:textId="445CCDE3" w:rsidR="0065456F" w:rsidRPr="00960061" w:rsidRDefault="0065456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 xml:space="preserve">Two datasets were utilized to conduct the bankruptcy analysis: </w:t>
      </w:r>
    </w:p>
    <w:p w14:paraId="257F42C2" w14:textId="77777777" w:rsidR="0065456F" w:rsidRPr="00960061" w:rsidRDefault="0065456F" w:rsidP="0065456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 xml:space="preserve">Taiwan Economic Journal Bankruptcy data </w:t>
      </w:r>
    </w:p>
    <w:p w14:paraId="60AE4822" w14:textId="78956B66" w:rsidR="00AF12CB" w:rsidRPr="00960061" w:rsidRDefault="0065456F" w:rsidP="00CC544E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 xml:space="preserve"> This dataset </w:t>
      </w:r>
      <w:r w:rsidR="00AF12CB" w:rsidRPr="00960061">
        <w:rPr>
          <w:rFonts w:eastAsia="Arial"/>
          <w:color w:val="000000"/>
        </w:rPr>
        <w:t>included 95 financial metrics for 6,820 companies.</w:t>
      </w:r>
    </w:p>
    <w:p w14:paraId="4C7F7F23" w14:textId="17461B4C" w:rsidR="00AF12CB" w:rsidRPr="00960061" w:rsidRDefault="00AF12CB" w:rsidP="0065456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>A Boolean indicator was included in this dataset that represents if a company has gone bankrupt</w:t>
      </w:r>
      <w:r w:rsidR="00A36AD8">
        <w:rPr>
          <w:rFonts w:eastAsia="Arial"/>
          <w:color w:val="000000"/>
        </w:rPr>
        <w:t>.</w:t>
      </w:r>
      <w:r w:rsidRPr="00960061">
        <w:rPr>
          <w:rFonts w:eastAsia="Arial"/>
          <w:color w:val="000000"/>
        </w:rPr>
        <w:t xml:space="preserve"> </w:t>
      </w:r>
    </w:p>
    <w:p w14:paraId="7828A3AC" w14:textId="7791F42B" w:rsidR="00442195" w:rsidRPr="00960061" w:rsidRDefault="00CC544E" w:rsidP="00AF12C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>Web scraped financial metrics for every ticker represented in the S&amp;P 500</w:t>
      </w:r>
      <w:r w:rsidR="004A731C" w:rsidRPr="00960061">
        <w:rPr>
          <w:rFonts w:eastAsia="Arial"/>
          <w:color w:val="000000"/>
        </w:rPr>
        <w:t xml:space="preserve"> index</w:t>
      </w:r>
      <w:r w:rsidR="00A36AD8">
        <w:rPr>
          <w:rFonts w:eastAsia="Arial"/>
          <w:color w:val="000000"/>
        </w:rPr>
        <w:t>.</w:t>
      </w:r>
    </w:p>
    <w:p w14:paraId="51616C4F" w14:textId="3551135A" w:rsidR="00AF12CB" w:rsidRPr="00960061" w:rsidRDefault="00442195" w:rsidP="0044219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>This dataset was scraped f</w:t>
      </w:r>
      <w:r w:rsidRPr="00960061">
        <w:rPr>
          <w:rFonts w:eastAsia="Arial"/>
        </w:rPr>
        <w:t xml:space="preserve">rom </w:t>
      </w:r>
      <w:hyperlink r:id="rId8">
        <w:r w:rsidRPr="00960061">
          <w:rPr>
            <w:rFonts w:eastAsia="Arial"/>
            <w:color w:val="1155CC"/>
            <w:u w:val="single"/>
          </w:rPr>
          <w:t>https://finviz.com</w:t>
        </w:r>
      </w:hyperlink>
      <w:r w:rsidR="00A36AD8">
        <w:rPr>
          <w:rFonts w:eastAsia="Arial"/>
          <w:color w:val="1155CC"/>
          <w:u w:val="single"/>
        </w:rPr>
        <w:t>.</w:t>
      </w:r>
    </w:p>
    <w:p w14:paraId="5849C64C" w14:textId="026035BF" w:rsidR="009C23B9" w:rsidRPr="00960061" w:rsidRDefault="00CC544E" w:rsidP="00C82205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rFonts w:eastAsia="Arial"/>
          <w:color w:val="000000"/>
        </w:rPr>
      </w:pPr>
      <w:r w:rsidRPr="00960061">
        <w:rPr>
          <w:rFonts w:eastAsia="Arial"/>
          <w:color w:val="000000"/>
        </w:rPr>
        <w:t xml:space="preserve">This dataset included 18 financial metrics for the 505 tickers in the S&amp;P 500 </w:t>
      </w:r>
      <w:r w:rsidR="004A731C" w:rsidRPr="00960061">
        <w:rPr>
          <w:rFonts w:eastAsia="Arial"/>
          <w:color w:val="000000"/>
        </w:rPr>
        <w:t>index</w:t>
      </w:r>
      <w:r w:rsidR="00A36AD8">
        <w:rPr>
          <w:rFonts w:eastAsia="Arial"/>
          <w:color w:val="000000"/>
        </w:rPr>
        <w:t>.</w:t>
      </w:r>
    </w:p>
    <w:p w14:paraId="2149283B" w14:textId="77777777" w:rsidR="009C23B9" w:rsidRDefault="002039F1">
      <w:pPr>
        <w:pStyle w:val="Heading2"/>
      </w:pPr>
      <w:r>
        <w:t>C</w:t>
      </w:r>
      <w:r>
        <w:t>ode</w:t>
      </w:r>
    </w:p>
    <w:p w14:paraId="0E991203" w14:textId="56A17C3F" w:rsidR="009C23B9" w:rsidRDefault="002039F1">
      <w:r>
        <w:t xml:space="preserve">The code utilizes the Pandas, </w:t>
      </w:r>
      <w:proofErr w:type="spellStart"/>
      <w:r>
        <w:t>Numpy</w:t>
      </w:r>
      <w:proofErr w:type="spellEnd"/>
      <w:r>
        <w:t xml:space="preserve">, Beautiful Soup, and </w:t>
      </w:r>
      <w:proofErr w:type="spellStart"/>
      <w:r>
        <w:t>Urlib.Request</w:t>
      </w:r>
      <w:proofErr w:type="spellEnd"/>
      <w:r>
        <w:t xml:space="preserve"> packages</w:t>
      </w:r>
      <w:r w:rsidR="00442195">
        <w:t xml:space="preserve"> </w:t>
      </w:r>
      <w:r w:rsidR="00F8356D">
        <w:t>to scrape financial metrics for all the S&amp;P 500 tickers</w:t>
      </w:r>
      <w:r w:rsidR="00442195">
        <w:t xml:space="preserve">. </w:t>
      </w:r>
    </w:p>
    <w:p w14:paraId="0C2871B4" w14:textId="069EC0B0" w:rsidR="00C82205" w:rsidRDefault="00C82205"/>
    <w:p w14:paraId="1352DF8E" w14:textId="5EAB57C3" w:rsidR="00C82205" w:rsidRDefault="00C82205">
      <w:r>
        <w:t xml:space="preserve">Image 1 depicts the necessary imports </w:t>
      </w:r>
    </w:p>
    <w:p w14:paraId="2154C7DF" w14:textId="77777777" w:rsidR="009C23B9" w:rsidRDefault="009C23B9"/>
    <w:p w14:paraId="4C847420" w14:textId="77777777" w:rsidR="009C23B9" w:rsidRDefault="002039F1">
      <w:r>
        <w:rPr>
          <w:noProof/>
        </w:rPr>
        <w:drawing>
          <wp:inline distT="114300" distB="114300" distL="114300" distR="114300" wp14:anchorId="4EAF07D7" wp14:editId="2BCCB05A">
            <wp:extent cx="6492240" cy="6350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7DFB9" w14:textId="77777777" w:rsidR="009C23B9" w:rsidRDefault="009C23B9"/>
    <w:p w14:paraId="31F2BA7D" w14:textId="178E8222" w:rsidR="009C23B9" w:rsidRDefault="00F8356D">
      <w:r>
        <w:t xml:space="preserve">As the financial metrics for each company were found on different pages of the </w:t>
      </w:r>
      <w:proofErr w:type="spellStart"/>
      <w:r>
        <w:t>Finviz</w:t>
      </w:r>
      <w:proofErr w:type="spellEnd"/>
      <w:r>
        <w:t xml:space="preserve"> website, it was necessary to concatenate 25 different </w:t>
      </w:r>
      <w:r w:rsidR="00C82205">
        <w:t>data frames</w:t>
      </w:r>
      <w:r>
        <w:t xml:space="preserve"> into 1 data frame, so I could have all 505 tickers represented in</w:t>
      </w:r>
      <w:r w:rsidR="00C82205">
        <w:t xml:space="preserve"> a</w:t>
      </w:r>
      <w:r>
        <w:t xml:space="preserve"> </w:t>
      </w:r>
      <w:r w:rsidR="004F6E53">
        <w:t xml:space="preserve">single </w:t>
      </w:r>
      <w:r>
        <w:t xml:space="preserve">dataset for analysis. Creating this data frame was very lengthy </w:t>
      </w:r>
      <w:r w:rsidR="00C82205">
        <w:t>process but</w:t>
      </w:r>
      <w:r>
        <w:t xml:space="preserve"> was necessary for comparison purposes.</w:t>
      </w:r>
      <w:r w:rsidR="00A36AD8">
        <w:t xml:space="preserve"> This data also required a bit of manipulation to be useable. All % signs needed to be removed, </w:t>
      </w:r>
      <w:r w:rsidR="00DE0498">
        <w:t xml:space="preserve">and values were transformed to be decimals. I then converted every column to be a number rather than an object so that I could conduct descriptive statistics on each of the financial metrics. </w:t>
      </w:r>
    </w:p>
    <w:p w14:paraId="536C70E1" w14:textId="02333A03" w:rsidR="00C82205" w:rsidRDefault="00C82205"/>
    <w:p w14:paraId="51EC2BD8" w14:textId="77777777" w:rsidR="008C05E8" w:rsidRDefault="008C05E8"/>
    <w:p w14:paraId="468C943B" w14:textId="77777777" w:rsidR="00DE0498" w:rsidRDefault="00DE0498"/>
    <w:p w14:paraId="463B9513" w14:textId="77777777" w:rsidR="00DE0498" w:rsidRDefault="00DE0498"/>
    <w:p w14:paraId="02454981" w14:textId="1A1F84EF" w:rsidR="00C82205" w:rsidRDefault="00C82205">
      <w:r>
        <w:lastRenderedPageBreak/>
        <w:t xml:space="preserve">Image 2 </w:t>
      </w:r>
      <w:r w:rsidR="008C05E8">
        <w:t xml:space="preserve">depicts </w:t>
      </w:r>
      <w:r>
        <w:t xml:space="preserve">a subset of concatenation process to make 1 complete data frame </w:t>
      </w:r>
    </w:p>
    <w:p w14:paraId="6B8603C7" w14:textId="0F4BE022" w:rsidR="00F8356D" w:rsidRDefault="00F8356D"/>
    <w:p w14:paraId="6CE22F1F" w14:textId="6F1CD37C" w:rsidR="00F8356D" w:rsidRDefault="00F8356D">
      <w:r w:rsidRPr="00F8356D">
        <w:drawing>
          <wp:inline distT="0" distB="0" distL="0" distR="0" wp14:anchorId="579BD9B2" wp14:editId="6B449AF1">
            <wp:extent cx="6492240" cy="28721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2B77" w14:textId="159251F8" w:rsidR="008C05E8" w:rsidRDefault="008C05E8"/>
    <w:p w14:paraId="0EA41F02" w14:textId="77777777" w:rsidR="00DE0498" w:rsidRDefault="008C05E8">
      <w:r>
        <w:t xml:space="preserve">The data provided by the Taiwan </w:t>
      </w:r>
      <w:r w:rsidR="008B4778">
        <w:t>E</w:t>
      </w:r>
      <w:r>
        <w:t xml:space="preserve">conomic </w:t>
      </w:r>
      <w:r w:rsidR="008B4778">
        <w:t>J</w:t>
      </w:r>
      <w:r>
        <w:t xml:space="preserve">ournal </w:t>
      </w:r>
      <w:r w:rsidR="008B4778">
        <w:t xml:space="preserve">although large, </w:t>
      </w:r>
      <w:r>
        <w:t>was relatively easy to work with</w:t>
      </w:r>
      <w:r w:rsidR="004A731C">
        <w:t>.</w:t>
      </w:r>
      <w:r w:rsidR="008B4778">
        <w:t xml:space="preserve"> It required less data cleaning than the S&amp;P 500 scraped data. As the </w:t>
      </w:r>
      <w:r>
        <w:t xml:space="preserve">dataset </w:t>
      </w:r>
      <w:r w:rsidR="004A731C">
        <w:t xml:space="preserve">included </w:t>
      </w:r>
      <w:r>
        <w:t xml:space="preserve">a </w:t>
      </w:r>
      <w:r w:rsidR="004A731C">
        <w:t>Boolean</w:t>
      </w:r>
      <w:r>
        <w:t xml:space="preserve"> indicator to represent </w:t>
      </w:r>
      <w:r w:rsidR="004A731C">
        <w:t>if a company has gone bankrupt</w:t>
      </w:r>
      <w:r w:rsidR="008B4778">
        <w:t>, t</w:t>
      </w:r>
      <w:r>
        <w:t xml:space="preserve">his dataset </w:t>
      </w:r>
      <w:r w:rsidR="008B4778">
        <w:t xml:space="preserve">was </w:t>
      </w:r>
      <w:r>
        <w:t>perfect for a machine learning model.</w:t>
      </w:r>
      <w:r w:rsidR="00DE0498">
        <w:t xml:space="preserve"> It was also very easy to subset this data to include only bankrupt companies. </w:t>
      </w:r>
    </w:p>
    <w:p w14:paraId="25EF0630" w14:textId="77777777" w:rsidR="00DE0498" w:rsidRDefault="00DE0498"/>
    <w:p w14:paraId="295F537D" w14:textId="74917074" w:rsidR="008C05E8" w:rsidRDefault="00DE0498">
      <w:r>
        <w:t xml:space="preserve">Image 3 depicts </w:t>
      </w:r>
      <w:proofErr w:type="spellStart"/>
      <w:r w:rsidR="00037128">
        <w:t>subsetting</w:t>
      </w:r>
      <w:proofErr w:type="spellEnd"/>
      <w:r>
        <w:t xml:space="preserve"> the Taiwan data to include only bankrupt companies </w:t>
      </w:r>
    </w:p>
    <w:p w14:paraId="0B1D7243" w14:textId="03B53981" w:rsidR="00DE0498" w:rsidRDefault="00DE0498"/>
    <w:p w14:paraId="5A6BB013" w14:textId="38DDFF27" w:rsidR="00DE0498" w:rsidRDefault="00DE0498">
      <w:r w:rsidRPr="00DE0498">
        <w:drawing>
          <wp:inline distT="0" distB="0" distL="0" distR="0" wp14:anchorId="37925DED" wp14:editId="052A1003">
            <wp:extent cx="5880100" cy="82550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26DA" w14:textId="22DE3118" w:rsidR="008C05E8" w:rsidRDefault="008C05E8"/>
    <w:p w14:paraId="1FB85E49" w14:textId="0DBE4172" w:rsidR="008B4778" w:rsidRDefault="00037128">
      <w:r>
        <w:t xml:space="preserve">A correlation heatmap was created to view each financial metrics relationship to one another. </w:t>
      </w:r>
    </w:p>
    <w:p w14:paraId="1D4B1FFE" w14:textId="77777777" w:rsidR="008B4778" w:rsidRDefault="008B4778"/>
    <w:p w14:paraId="1BFD8A57" w14:textId="77777777" w:rsidR="008B4778" w:rsidRDefault="008B4778"/>
    <w:p w14:paraId="64D275A5" w14:textId="77777777" w:rsidR="008B4778" w:rsidRDefault="008B4778"/>
    <w:p w14:paraId="60F4464F" w14:textId="77777777" w:rsidR="008B4778" w:rsidRDefault="008B4778"/>
    <w:p w14:paraId="50955014" w14:textId="77777777" w:rsidR="008B4778" w:rsidRDefault="008B4778"/>
    <w:p w14:paraId="7AFE465B" w14:textId="77777777" w:rsidR="008B4778" w:rsidRDefault="008B4778"/>
    <w:p w14:paraId="6E7F7B1E" w14:textId="77777777" w:rsidR="008B4778" w:rsidRDefault="008B4778"/>
    <w:p w14:paraId="2BB129D9" w14:textId="77777777" w:rsidR="008B4778" w:rsidRDefault="008B4778"/>
    <w:p w14:paraId="677B0913" w14:textId="77777777" w:rsidR="008B4778" w:rsidRDefault="008B4778"/>
    <w:p w14:paraId="4EED65F0" w14:textId="77777777" w:rsidR="00DE0498" w:rsidRDefault="00DE0498"/>
    <w:p w14:paraId="33225544" w14:textId="77777777" w:rsidR="00436844" w:rsidRDefault="00436844"/>
    <w:p w14:paraId="43B59314" w14:textId="77777777" w:rsidR="00436844" w:rsidRDefault="00436844"/>
    <w:p w14:paraId="410E2C87" w14:textId="472DD0F1" w:rsidR="008C05E8" w:rsidRDefault="008C05E8">
      <w:r>
        <w:lastRenderedPageBreak/>
        <w:t xml:space="preserve">Image </w:t>
      </w:r>
      <w:r w:rsidR="00DE0498">
        <w:t>4</w:t>
      </w:r>
      <w:r>
        <w:t xml:space="preserve"> represents a correlation heatmap </w:t>
      </w:r>
      <w:r w:rsidR="003D0A1A">
        <w:t>for the financial metrics found in the bankruptcy data</w:t>
      </w:r>
    </w:p>
    <w:p w14:paraId="1C7CF451" w14:textId="00B57AAE" w:rsidR="003D0A1A" w:rsidRDefault="003D0A1A"/>
    <w:p w14:paraId="4D3021FA" w14:textId="69D7EE8D" w:rsidR="003D0A1A" w:rsidRDefault="003D0A1A">
      <w:r w:rsidRPr="003D0A1A">
        <w:drawing>
          <wp:inline distT="0" distB="0" distL="0" distR="0" wp14:anchorId="6BAB26AB" wp14:editId="0CD21954">
            <wp:extent cx="4467497" cy="2990129"/>
            <wp:effectExtent l="0" t="0" r="317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148" cy="302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8E36" w14:textId="52CEE96D" w:rsidR="003D0A1A" w:rsidRDefault="003D0A1A">
      <w:proofErr w:type="spellStart"/>
      <w:r>
        <w:t>Sklearn</w:t>
      </w:r>
      <w:proofErr w:type="spellEnd"/>
      <w:r>
        <w:t xml:space="preserve"> was utilized to conduct both a logistic regression as well random forest machine learning model</w:t>
      </w:r>
      <w:r w:rsidR="00A36AD8">
        <w:t>s</w:t>
      </w:r>
      <w:r>
        <w:t xml:space="preserve">. </w:t>
      </w:r>
    </w:p>
    <w:p w14:paraId="01A452F4" w14:textId="53B6548D" w:rsidR="003D0A1A" w:rsidRDefault="003D0A1A"/>
    <w:p w14:paraId="14D69A30" w14:textId="7E455D1A" w:rsidR="003D0A1A" w:rsidRDefault="003D0A1A">
      <w:r>
        <w:t xml:space="preserve">Image </w:t>
      </w:r>
      <w:r w:rsidR="00DE0498">
        <w:t>5</w:t>
      </w:r>
      <w:r>
        <w:t xml:space="preserve"> depicts the key packages utilized to conduct the machine learning models </w:t>
      </w:r>
    </w:p>
    <w:p w14:paraId="422DFC1D" w14:textId="77777777" w:rsidR="003D0A1A" w:rsidRDefault="003D0A1A"/>
    <w:p w14:paraId="140DAD0A" w14:textId="470ED4D1" w:rsidR="003D0A1A" w:rsidRDefault="003D0A1A">
      <w:r w:rsidRPr="003D0A1A">
        <w:drawing>
          <wp:inline distT="0" distB="0" distL="0" distR="0" wp14:anchorId="76913626" wp14:editId="7417E4ED">
            <wp:extent cx="5717177" cy="1528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850" cy="15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2F05" w14:textId="71A3852A" w:rsidR="003D0A1A" w:rsidRDefault="003D0A1A"/>
    <w:p w14:paraId="29389EDC" w14:textId="25CC17D0" w:rsidR="003D0A1A" w:rsidRDefault="00BA7EAC">
      <w:r>
        <w:t xml:space="preserve">The machine learning models proved to be successful, as I was able to obtain </w:t>
      </w:r>
      <w:r w:rsidR="00A36AD8">
        <w:t xml:space="preserve">an accuracy of </w:t>
      </w:r>
      <w:r>
        <w:t xml:space="preserve">96% with both models. </w:t>
      </w:r>
    </w:p>
    <w:p w14:paraId="647983BC" w14:textId="24BFBD95" w:rsidR="00BA7EAC" w:rsidRDefault="00BA7EAC"/>
    <w:p w14:paraId="5DF4C741" w14:textId="77777777" w:rsidR="00DE0498" w:rsidRDefault="00DE0498"/>
    <w:p w14:paraId="2ED53556" w14:textId="77777777" w:rsidR="00436844" w:rsidRDefault="00436844"/>
    <w:p w14:paraId="798450E6" w14:textId="77777777" w:rsidR="00436844" w:rsidRDefault="00436844"/>
    <w:p w14:paraId="4E279941" w14:textId="77777777" w:rsidR="00436844" w:rsidRDefault="00436844"/>
    <w:p w14:paraId="105E2690" w14:textId="77777777" w:rsidR="00436844" w:rsidRDefault="00436844"/>
    <w:p w14:paraId="4187AA8C" w14:textId="77777777" w:rsidR="00436844" w:rsidRDefault="00436844"/>
    <w:p w14:paraId="6FF2AB8C" w14:textId="77777777" w:rsidR="00436844" w:rsidRDefault="00436844"/>
    <w:p w14:paraId="230F1965" w14:textId="77777777" w:rsidR="00436844" w:rsidRDefault="00436844"/>
    <w:p w14:paraId="6A6BB4F8" w14:textId="77777777" w:rsidR="00436844" w:rsidRDefault="00436844"/>
    <w:p w14:paraId="6AD8C163" w14:textId="154DF2E3" w:rsidR="00BA7EAC" w:rsidRDefault="00BA7EAC">
      <w:r>
        <w:lastRenderedPageBreak/>
        <w:t xml:space="preserve">Image </w:t>
      </w:r>
      <w:r w:rsidR="00DE0498">
        <w:t>6</w:t>
      </w:r>
      <w:r>
        <w:t xml:space="preserve"> depicts a confusion matrix for the logistic regression model </w:t>
      </w:r>
    </w:p>
    <w:p w14:paraId="774A9A92" w14:textId="0418CBFA" w:rsidR="00BA7EAC" w:rsidRDefault="00BA7EAC"/>
    <w:p w14:paraId="4655EFE4" w14:textId="7D79D856" w:rsidR="00BA7EAC" w:rsidRDefault="00BA7EAC">
      <w:r w:rsidRPr="00BA7EAC">
        <w:drawing>
          <wp:inline distT="0" distB="0" distL="0" distR="0" wp14:anchorId="1519B78D" wp14:editId="3E91E137">
            <wp:extent cx="3927565" cy="3880359"/>
            <wp:effectExtent l="0" t="0" r="0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753" cy="38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67E2" w14:textId="77777777" w:rsidR="00BA7EAC" w:rsidRDefault="00BA7EAC"/>
    <w:p w14:paraId="706E3BEC" w14:textId="0BCFC22C" w:rsidR="00BA7EAC" w:rsidRDefault="00BA7EAC">
      <w:r>
        <w:t xml:space="preserve">Image </w:t>
      </w:r>
      <w:r w:rsidR="00DE0498">
        <w:t>7</w:t>
      </w:r>
      <w:r>
        <w:t xml:space="preserve"> depicts the classification report for the Random Forest model </w:t>
      </w:r>
    </w:p>
    <w:p w14:paraId="71C379DA" w14:textId="7326A2A5" w:rsidR="00BA7EAC" w:rsidRDefault="00BA7EAC"/>
    <w:p w14:paraId="2C3A76EC" w14:textId="270E041D" w:rsidR="00BA7EAC" w:rsidRDefault="00BA7EAC">
      <w:r w:rsidRPr="00BA7EAC">
        <w:drawing>
          <wp:inline distT="0" distB="0" distL="0" distR="0" wp14:anchorId="026FD1BE" wp14:editId="2EA87D23">
            <wp:extent cx="5329645" cy="1991319"/>
            <wp:effectExtent l="0" t="0" r="4445" b="31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9321" cy="20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A327" w14:textId="7C3FE81B" w:rsidR="00BA7EAC" w:rsidRDefault="00BA7EAC"/>
    <w:p w14:paraId="3AB844F3" w14:textId="77777777" w:rsidR="00BA7EAC" w:rsidRDefault="00BA7EAC"/>
    <w:p w14:paraId="108ABD71" w14:textId="35924323" w:rsidR="00BA7EAC" w:rsidRDefault="00BA7EAC"/>
    <w:p w14:paraId="32912B2E" w14:textId="77777777" w:rsidR="00436844" w:rsidRDefault="00436844">
      <w:pPr>
        <w:pStyle w:val="Heading2"/>
      </w:pPr>
    </w:p>
    <w:p w14:paraId="534F198E" w14:textId="0C2640D0" w:rsidR="009C23B9" w:rsidRDefault="002039F1">
      <w:pPr>
        <w:pStyle w:val="Heading2"/>
      </w:pPr>
      <w:r>
        <w:t xml:space="preserve">Data Questions </w:t>
      </w:r>
    </w:p>
    <w:p w14:paraId="23A34992" w14:textId="4F00AAE2" w:rsidR="009C23B9" w:rsidRPr="00436844" w:rsidRDefault="002039F1">
      <w:pPr>
        <w:rPr>
          <w:rFonts w:eastAsia="Arial"/>
        </w:rPr>
      </w:pPr>
      <w:r w:rsidRPr="00436844">
        <w:rPr>
          <w:rFonts w:eastAsia="Arial"/>
        </w:rPr>
        <w:t xml:space="preserve">The discussed code was utilized to answer the following questions: </w:t>
      </w:r>
    </w:p>
    <w:p w14:paraId="4A4A3D7B" w14:textId="77777777" w:rsidR="009C23B9" w:rsidRPr="00436844" w:rsidRDefault="009C23B9">
      <w:pPr>
        <w:rPr>
          <w:rFonts w:eastAsia="Arial"/>
        </w:rPr>
      </w:pPr>
    </w:p>
    <w:p w14:paraId="1D25708D" w14:textId="4A5FE31D" w:rsidR="009C23B9" w:rsidRPr="00436844" w:rsidRDefault="00470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 w:rsidRPr="00436844">
        <w:rPr>
          <w:rFonts w:eastAsia="Arial"/>
        </w:rPr>
        <w:t xml:space="preserve">Are </w:t>
      </w:r>
      <w:r w:rsidR="00A11253" w:rsidRPr="00436844">
        <w:rPr>
          <w:rFonts w:eastAsia="Arial"/>
        </w:rPr>
        <w:t>t</w:t>
      </w:r>
      <w:r w:rsidRPr="00436844">
        <w:rPr>
          <w:rFonts w:eastAsia="Arial"/>
        </w:rPr>
        <w:t xml:space="preserve">here any companies in the S&amp;P 500 with financial similarities to bankrupt companies? </w:t>
      </w:r>
    </w:p>
    <w:p w14:paraId="211E7D7D" w14:textId="6DEF6BFF" w:rsidR="00470C46" w:rsidRPr="00436844" w:rsidRDefault="00470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 w:rsidRPr="00436844">
        <w:rPr>
          <w:rFonts w:eastAsia="Arial"/>
        </w:rPr>
        <w:t>What Financial indicators heavily influence if a company is likely to face bankruptcy?</w:t>
      </w:r>
    </w:p>
    <w:p w14:paraId="405B9508" w14:textId="72A9D6E4" w:rsidR="009C23B9" w:rsidRPr="00436844" w:rsidRDefault="00470C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</w:rPr>
      </w:pPr>
      <w:r w:rsidRPr="00436844">
        <w:rPr>
          <w:rFonts w:eastAsia="Arial"/>
        </w:rPr>
        <w:t xml:space="preserve">What Financial indicators have no influence on the likelihood of a company facing bankruptcy?  </w:t>
      </w:r>
      <w:r w:rsidR="002039F1" w:rsidRPr="00436844">
        <w:rPr>
          <w:rFonts w:eastAsia="Arial"/>
        </w:rPr>
        <w:t xml:space="preserve"> </w:t>
      </w:r>
    </w:p>
    <w:p w14:paraId="14713C82" w14:textId="77777777" w:rsidR="009C23B9" w:rsidRDefault="009C23B9"/>
    <w:p w14:paraId="572B1095" w14:textId="77777777" w:rsidR="009C23B9" w:rsidRDefault="002039F1">
      <w:pPr>
        <w:rPr>
          <w:b/>
        </w:rPr>
      </w:pPr>
      <w:r>
        <w:rPr>
          <w:b/>
        </w:rPr>
        <w:t xml:space="preserve">Question 1: </w:t>
      </w:r>
    </w:p>
    <w:p w14:paraId="2A27F74D" w14:textId="0CADBCBA" w:rsidR="009C23B9" w:rsidRDefault="00A11253">
      <w:r>
        <w:t xml:space="preserve">In order to answer if there are any companies in the S&amp;P 500 with financial similarities to bankrupt companies the following financial metrics were considered: </w:t>
      </w:r>
    </w:p>
    <w:p w14:paraId="002DEABD" w14:textId="0285559D" w:rsidR="00A11253" w:rsidRPr="00A11253" w:rsidRDefault="00A11253" w:rsidP="00A11253">
      <w:pPr>
        <w:pStyle w:val="ListParagraph"/>
        <w:numPr>
          <w:ilvl w:val="0"/>
          <w:numId w:val="6"/>
        </w:numPr>
        <w:rPr>
          <w:bCs/>
        </w:rPr>
      </w:pPr>
      <w:r w:rsidRPr="00A11253">
        <w:rPr>
          <w:bCs/>
        </w:rPr>
        <w:t xml:space="preserve">ROA </w:t>
      </w:r>
    </w:p>
    <w:p w14:paraId="50322B8B" w14:textId="18FB928F" w:rsidR="00A11253" w:rsidRPr="00A11253" w:rsidRDefault="00A11253" w:rsidP="00A11253">
      <w:pPr>
        <w:pStyle w:val="ListParagraph"/>
        <w:numPr>
          <w:ilvl w:val="0"/>
          <w:numId w:val="6"/>
        </w:numPr>
        <w:rPr>
          <w:bCs/>
        </w:rPr>
      </w:pPr>
      <w:r w:rsidRPr="00A11253">
        <w:rPr>
          <w:bCs/>
        </w:rPr>
        <w:t>Current Ratio</w:t>
      </w:r>
    </w:p>
    <w:p w14:paraId="06322E93" w14:textId="795DA04C" w:rsidR="00A11253" w:rsidRPr="00A11253" w:rsidRDefault="00A11253" w:rsidP="00A11253">
      <w:pPr>
        <w:pStyle w:val="ListParagraph"/>
        <w:numPr>
          <w:ilvl w:val="0"/>
          <w:numId w:val="6"/>
        </w:numPr>
        <w:rPr>
          <w:bCs/>
        </w:rPr>
      </w:pPr>
      <w:r w:rsidRPr="00A11253">
        <w:rPr>
          <w:bCs/>
        </w:rPr>
        <w:t xml:space="preserve">Quick Ratio </w:t>
      </w:r>
    </w:p>
    <w:p w14:paraId="17DB756E" w14:textId="4E94590D" w:rsidR="00A11253" w:rsidRPr="00A11253" w:rsidRDefault="00A11253" w:rsidP="00A11253">
      <w:pPr>
        <w:pStyle w:val="ListParagraph"/>
        <w:numPr>
          <w:ilvl w:val="0"/>
          <w:numId w:val="6"/>
        </w:numPr>
        <w:rPr>
          <w:bCs/>
        </w:rPr>
      </w:pPr>
      <w:r w:rsidRPr="00A11253">
        <w:rPr>
          <w:bCs/>
        </w:rPr>
        <w:t xml:space="preserve">Debt / Equity </w:t>
      </w:r>
    </w:p>
    <w:p w14:paraId="2C2929CE" w14:textId="3084D6AD" w:rsidR="00A11253" w:rsidRPr="00A11253" w:rsidRDefault="00A11253" w:rsidP="00A11253">
      <w:pPr>
        <w:pStyle w:val="ListParagraph"/>
        <w:numPr>
          <w:ilvl w:val="0"/>
          <w:numId w:val="6"/>
        </w:numPr>
        <w:rPr>
          <w:bCs/>
        </w:rPr>
      </w:pPr>
      <w:r w:rsidRPr="00A11253">
        <w:rPr>
          <w:bCs/>
        </w:rPr>
        <w:t xml:space="preserve">Gross Margin </w:t>
      </w:r>
    </w:p>
    <w:p w14:paraId="46816204" w14:textId="77777777" w:rsidR="00394E3A" w:rsidRDefault="00394E3A"/>
    <w:p w14:paraId="73483C52" w14:textId="50D93043" w:rsidR="009C23B9" w:rsidRDefault="00394E3A">
      <w:r>
        <w:t xml:space="preserve">Additionally, the Taiwan Economic Journal Bankruptcy data was subset to include only instances of companies that have gone bankrupt. </w:t>
      </w:r>
      <w:r w:rsidR="000E4FCC">
        <w:t xml:space="preserve">The mean value of each financial metric was calculated and compared to current S&amp;P 500 companies. </w:t>
      </w:r>
    </w:p>
    <w:p w14:paraId="371D492A" w14:textId="798CAD64" w:rsidR="000E4FCC" w:rsidRDefault="000E4FCC"/>
    <w:p w14:paraId="24E4CD11" w14:textId="31207E01" w:rsidR="000E4FCC" w:rsidRPr="007C464C" w:rsidRDefault="000E4FCC">
      <w:pPr>
        <w:rPr>
          <w:b/>
          <w:bCs/>
        </w:rPr>
      </w:pPr>
      <w:r w:rsidRPr="007C464C">
        <w:rPr>
          <w:b/>
          <w:bCs/>
        </w:rPr>
        <w:t xml:space="preserve">ROA </w:t>
      </w:r>
    </w:p>
    <w:p w14:paraId="468EB74B" w14:textId="6C1A844C" w:rsidR="000E4FCC" w:rsidRDefault="000E4FCC"/>
    <w:p w14:paraId="50523F76" w14:textId="05370D12" w:rsidR="000E4FCC" w:rsidRDefault="000E4FCC">
      <w:r>
        <w:t>The average ROA of Bankrupt companies was found to be 50%</w:t>
      </w:r>
      <w:r w:rsidR="00926186">
        <w:t>.</w:t>
      </w:r>
      <w:r>
        <w:t xml:space="preserve"> EBAY was on the only company in the S&amp;P 500 with a similar ROA of 51.5</w:t>
      </w:r>
      <w:r w:rsidR="007C464C">
        <w:t>%</w:t>
      </w:r>
      <w:r>
        <w:t>.</w:t>
      </w:r>
    </w:p>
    <w:p w14:paraId="170342A8" w14:textId="77777777" w:rsidR="000E4FCC" w:rsidRDefault="000E4FCC"/>
    <w:p w14:paraId="07AF47DE" w14:textId="3681DBAF" w:rsidR="000E4FCC" w:rsidRDefault="000E4FCC">
      <w:r>
        <w:t xml:space="preserve">Image </w:t>
      </w:r>
      <w:r w:rsidR="00DE0498">
        <w:t>8</w:t>
      </w:r>
      <w:r>
        <w:t xml:space="preserve"> depicts the output of the mean ROA of bankrupt companies </w:t>
      </w:r>
    </w:p>
    <w:p w14:paraId="3936B885" w14:textId="77777777" w:rsidR="00F106B4" w:rsidRDefault="00F106B4"/>
    <w:p w14:paraId="7F1C2632" w14:textId="75197EAF" w:rsidR="00394E3A" w:rsidRDefault="000E4FCC">
      <w:r w:rsidRPr="000E4FCC">
        <w:drawing>
          <wp:inline distT="0" distB="0" distL="0" distR="0" wp14:anchorId="6E1DFE93" wp14:editId="24A0755B">
            <wp:extent cx="6492240" cy="5041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429A" w14:textId="6D1E9402" w:rsidR="00394E3A" w:rsidRDefault="00394E3A"/>
    <w:p w14:paraId="4920FA4D" w14:textId="69E9F6B6" w:rsidR="000E4FCC" w:rsidRDefault="007C464C">
      <w:pPr>
        <w:rPr>
          <w:b/>
          <w:bCs/>
        </w:rPr>
      </w:pPr>
      <w:r w:rsidRPr="007C464C">
        <w:rPr>
          <w:b/>
          <w:bCs/>
        </w:rPr>
        <w:t xml:space="preserve">Current Ratio </w:t>
      </w:r>
    </w:p>
    <w:p w14:paraId="4FAA9542" w14:textId="27933A06" w:rsidR="007C464C" w:rsidRDefault="007C464C">
      <w:r>
        <w:t>The average Current Ratio of bankrupt companies was 416,729. No companies in the S&amp;P 500 were found to have a current ratio near this value</w:t>
      </w:r>
      <w:r w:rsidR="000569CC">
        <w:t>, a</w:t>
      </w:r>
      <w:r w:rsidR="000569CC">
        <w:t xml:space="preserve">s the </w:t>
      </w:r>
      <w:r w:rsidR="000569CC">
        <w:t xml:space="preserve">maximum </w:t>
      </w:r>
      <w:r w:rsidR="000569CC">
        <w:t>was a value of 14 by Aadi Bioscience</w:t>
      </w:r>
      <w:r>
        <w:t xml:space="preserve">. An outlier value of 2,750,000,000 was found in the bankruptcy data which far exceeds any current ratios of S&amp;P 500 companies. </w:t>
      </w:r>
      <w:r w:rsidR="000569CC">
        <w:t xml:space="preserve">Due to the discrepancy in values, </w:t>
      </w:r>
      <w:r>
        <w:t>it was difficult to draw any conclusions about current ratios effect o</w:t>
      </w:r>
      <w:r w:rsidR="00926186">
        <w:t>n</w:t>
      </w:r>
      <w:r>
        <w:t xml:space="preserve"> bankrupt companies. </w:t>
      </w:r>
    </w:p>
    <w:p w14:paraId="5D86B0A7" w14:textId="1333E018" w:rsidR="000569CC" w:rsidRDefault="000569CC"/>
    <w:p w14:paraId="5628A1EB" w14:textId="77777777" w:rsidR="000569CC" w:rsidRDefault="000569CC"/>
    <w:p w14:paraId="6491DFBB" w14:textId="77777777" w:rsidR="000569CC" w:rsidRDefault="000569CC"/>
    <w:p w14:paraId="50B55003" w14:textId="77777777" w:rsidR="00436844" w:rsidRDefault="00436844"/>
    <w:p w14:paraId="4828C200" w14:textId="06323F5C" w:rsidR="000569CC" w:rsidRDefault="000569CC">
      <w:r>
        <w:lastRenderedPageBreak/>
        <w:t xml:space="preserve">Image </w:t>
      </w:r>
      <w:r w:rsidR="00DE0498">
        <w:t>9</w:t>
      </w:r>
      <w:r>
        <w:t xml:space="preserve"> depicts the output of mean current ratio on bankrupt companies </w:t>
      </w:r>
    </w:p>
    <w:p w14:paraId="5B7D147F" w14:textId="6888419F" w:rsidR="000569CC" w:rsidRDefault="000569CC"/>
    <w:p w14:paraId="4E4A69C5" w14:textId="11CD3BF2" w:rsidR="000569CC" w:rsidRDefault="000569CC">
      <w:r w:rsidRPr="000569CC">
        <w:drawing>
          <wp:inline distT="0" distB="0" distL="0" distR="0" wp14:anchorId="09815B61" wp14:editId="5E6B917B">
            <wp:extent cx="3187337" cy="874574"/>
            <wp:effectExtent l="0" t="0" r="635" b="190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650" cy="8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157F" w14:textId="40428FFA" w:rsidR="000569CC" w:rsidRDefault="000569CC"/>
    <w:p w14:paraId="2BB89486" w14:textId="4F288128" w:rsidR="00AE515E" w:rsidRDefault="00AE515E" w:rsidP="00AE515E">
      <w:pPr>
        <w:rPr>
          <w:b/>
          <w:bCs/>
        </w:rPr>
      </w:pPr>
      <w:r>
        <w:rPr>
          <w:b/>
          <w:bCs/>
        </w:rPr>
        <w:t xml:space="preserve">Quick </w:t>
      </w:r>
      <w:r w:rsidRPr="007C464C">
        <w:rPr>
          <w:b/>
          <w:bCs/>
        </w:rPr>
        <w:t xml:space="preserve">Ratio </w:t>
      </w:r>
    </w:p>
    <w:p w14:paraId="5FEFB285" w14:textId="09A0941A" w:rsidR="00AE515E" w:rsidRDefault="00AE515E" w:rsidP="00AE515E">
      <w:pPr>
        <w:rPr>
          <w:b/>
          <w:bCs/>
        </w:rPr>
      </w:pPr>
    </w:p>
    <w:p w14:paraId="705E5F9E" w14:textId="13D63506" w:rsidR="00AE515E" w:rsidRPr="00AE515E" w:rsidRDefault="00AE515E" w:rsidP="00AE515E">
      <w:r>
        <w:t xml:space="preserve">The average quick ratio of bankrupt companies was 7,257,160. </w:t>
      </w:r>
      <w:r w:rsidR="00F106B4">
        <w:t>Like</w:t>
      </w:r>
      <w:r>
        <w:t xml:space="preserve"> Current ratio this value </w:t>
      </w:r>
      <w:r w:rsidR="00F106B4">
        <w:t xml:space="preserve">far exceeded the maximum quick ratio value of S&amp;P 500 companies, as the largest value again was a value of 14 by Aadi Bioscience. </w:t>
      </w:r>
    </w:p>
    <w:p w14:paraId="549A3C2A" w14:textId="77777777" w:rsidR="000569CC" w:rsidRPr="007C464C" w:rsidRDefault="000569CC"/>
    <w:p w14:paraId="6CE756CC" w14:textId="0FEF0AF3" w:rsidR="00F106B4" w:rsidRDefault="00F106B4" w:rsidP="00F106B4">
      <w:r>
        <w:t>I</w:t>
      </w:r>
      <w:r>
        <w:t xml:space="preserve">mage </w:t>
      </w:r>
      <w:r w:rsidR="00DE0498">
        <w:t>10</w:t>
      </w:r>
      <w:r>
        <w:t xml:space="preserve"> </w:t>
      </w:r>
      <w:r>
        <w:t xml:space="preserve">depicts the output of the mean </w:t>
      </w:r>
      <w:r>
        <w:t xml:space="preserve">quick ratio </w:t>
      </w:r>
      <w:r>
        <w:t xml:space="preserve">of bankrupt companies </w:t>
      </w:r>
    </w:p>
    <w:p w14:paraId="353F0F66" w14:textId="77777777" w:rsidR="009C23B9" w:rsidRDefault="009C23B9"/>
    <w:p w14:paraId="4F3E8E66" w14:textId="3F36C2F3" w:rsidR="009C23B9" w:rsidRDefault="00F106B4">
      <w:r w:rsidRPr="00F106B4">
        <w:drawing>
          <wp:inline distT="0" distB="0" distL="0" distR="0" wp14:anchorId="370265AB" wp14:editId="15783285">
            <wp:extent cx="3553097" cy="959680"/>
            <wp:effectExtent l="0" t="0" r="3175" b="5715"/>
            <wp:docPr id="16" name="Picture 1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1875" cy="9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CBAE" w14:textId="1B4F9F2A" w:rsidR="00F106B4" w:rsidRDefault="00F106B4"/>
    <w:p w14:paraId="5899D6A3" w14:textId="2DD699E5" w:rsidR="00F106B4" w:rsidRDefault="004F6E53">
      <w:pPr>
        <w:rPr>
          <w:b/>
          <w:bCs/>
        </w:rPr>
      </w:pPr>
      <w:r w:rsidRPr="004F6E53">
        <w:rPr>
          <w:b/>
          <w:bCs/>
        </w:rPr>
        <w:t xml:space="preserve">Debt/ Equity </w:t>
      </w:r>
    </w:p>
    <w:p w14:paraId="1CDAB279" w14:textId="16C9DEEE" w:rsidR="004F6E53" w:rsidRPr="004F6E53" w:rsidRDefault="004F6E53">
      <w:r>
        <w:t xml:space="preserve">The average debt to equity ratio of bankrupt companies was 28%. 10 companies in the S&amp;P 500 had similar debt/equity ratios within .01 of bankrupt companies. These companies include </w:t>
      </w:r>
      <w:r w:rsidRPr="004F6E53">
        <w:t xml:space="preserve">Chubb Ltd, </w:t>
      </w:r>
      <w:proofErr w:type="spellStart"/>
      <w:r w:rsidRPr="004F6E53">
        <w:t>Coterra</w:t>
      </w:r>
      <w:proofErr w:type="spellEnd"/>
      <w:r w:rsidRPr="004F6E53">
        <w:t xml:space="preserve"> Energy Inc, Harford Financial Services Group Inc., </w:t>
      </w:r>
      <w:proofErr w:type="spellStart"/>
      <w:r w:rsidRPr="004F6E53">
        <w:t>Metlife</w:t>
      </w:r>
      <w:proofErr w:type="spellEnd"/>
      <w:r w:rsidRPr="004F6E53">
        <w:t xml:space="preserve"> Inc, Mohawk Industries, Inc, New Corp Class A, Paychex Inc, Principal Financial Group, Progressive Corp, Exxon Mobil Corp</w:t>
      </w:r>
      <w:r>
        <w:t xml:space="preserve">. Due to the </w:t>
      </w:r>
      <w:r w:rsidR="008B4778">
        <w:t>number</w:t>
      </w:r>
      <w:r>
        <w:t xml:space="preserve"> of companies with similar debt/equity ratios it doesn’t appear that debt/equity ratio plays a crucial role in determining if a company is likely to go bankrupt. </w:t>
      </w:r>
    </w:p>
    <w:p w14:paraId="75B4495F" w14:textId="206FC550" w:rsidR="004F6E53" w:rsidRDefault="004F6E53">
      <w:pPr>
        <w:rPr>
          <w:b/>
          <w:bCs/>
        </w:rPr>
      </w:pPr>
    </w:p>
    <w:p w14:paraId="3CFBF82B" w14:textId="0765B8F3" w:rsidR="004F6E53" w:rsidRDefault="004F6E53" w:rsidP="004F6E53">
      <w:r>
        <w:t xml:space="preserve">Image </w:t>
      </w:r>
      <w:r>
        <w:t>1</w:t>
      </w:r>
      <w:r w:rsidR="00DE0498">
        <w:t xml:space="preserve">1 </w:t>
      </w:r>
      <w:r>
        <w:t xml:space="preserve">depicts the output of the mean </w:t>
      </w:r>
      <w:r w:rsidR="004B17DB">
        <w:t xml:space="preserve">debt/equity ratio </w:t>
      </w:r>
      <w:r>
        <w:t>of bankrupt companies</w:t>
      </w:r>
    </w:p>
    <w:p w14:paraId="3E899388" w14:textId="77777777" w:rsidR="004F6E53" w:rsidRDefault="004F6E53" w:rsidP="004F6E53"/>
    <w:p w14:paraId="51036022" w14:textId="6A6BB0B3" w:rsidR="004F6E53" w:rsidRDefault="004F6E53" w:rsidP="004F6E53">
      <w:r>
        <w:t xml:space="preserve"> </w:t>
      </w:r>
      <w:r w:rsidRPr="004F6E53">
        <w:drawing>
          <wp:inline distT="0" distB="0" distL="0" distR="0" wp14:anchorId="4066B55E" wp14:editId="535E255D">
            <wp:extent cx="4162697" cy="879920"/>
            <wp:effectExtent l="0" t="0" r="3175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968" cy="88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504" w14:textId="3522318A" w:rsidR="004F6E53" w:rsidRDefault="004F6E53"/>
    <w:p w14:paraId="4C9F8184" w14:textId="5BF8690A" w:rsidR="004B17DB" w:rsidRDefault="004B17DB" w:rsidP="004B17DB">
      <w:pPr>
        <w:rPr>
          <w:b/>
        </w:rPr>
      </w:pPr>
      <w:r w:rsidRPr="004B17DB">
        <w:rPr>
          <w:b/>
        </w:rPr>
        <w:t xml:space="preserve">Gross Margin </w:t>
      </w:r>
    </w:p>
    <w:p w14:paraId="4A370A2A" w14:textId="019341F2" w:rsidR="004B17DB" w:rsidRPr="004B17DB" w:rsidRDefault="004B17DB" w:rsidP="004B17DB">
      <w:pPr>
        <w:rPr>
          <w:bCs/>
        </w:rPr>
      </w:pPr>
      <w:r>
        <w:rPr>
          <w:bCs/>
        </w:rPr>
        <w:t xml:space="preserve">The average gross margin of bankrupt companies was 60%. 13 companies in the S&amp;P 500 had similar operating gross margin values within 1% of the average gross margin of bankrupt companies. These companies include </w:t>
      </w:r>
      <w:r w:rsidRPr="004B17DB">
        <w:rPr>
          <w:bCs/>
        </w:rPr>
        <w:t xml:space="preserve">Brown-Forman </w:t>
      </w:r>
      <w:r w:rsidR="00926186" w:rsidRPr="004B17DB">
        <w:rPr>
          <w:bCs/>
        </w:rPr>
        <w:t>Corporation,</w:t>
      </w:r>
      <w:r w:rsidRPr="004B17DB">
        <w:rPr>
          <w:bCs/>
        </w:rPr>
        <w:t xml:space="preserve"> Colgate-Palmolive Company, Equifax, Hasbro, Coca-Cola Co, Mid-American Apartment Communities, </w:t>
      </w:r>
      <w:proofErr w:type="spellStart"/>
      <w:r w:rsidRPr="004B17DB">
        <w:rPr>
          <w:bCs/>
        </w:rPr>
        <w:t>Healthpeak</w:t>
      </w:r>
      <w:proofErr w:type="spellEnd"/>
      <w:r w:rsidRPr="004B17DB">
        <w:rPr>
          <w:bCs/>
        </w:rPr>
        <w:t xml:space="preserve"> </w:t>
      </w:r>
      <w:r w:rsidR="00926186" w:rsidRPr="004B17DB">
        <w:rPr>
          <w:bCs/>
        </w:rPr>
        <w:t>Properties, Teradyne</w:t>
      </w:r>
      <w:r w:rsidRPr="004B17DB">
        <w:rPr>
          <w:bCs/>
        </w:rPr>
        <w:t xml:space="preserve"> Inc., Take-Two Interactive Software, WEC Energy </w:t>
      </w:r>
      <w:r w:rsidR="00926186" w:rsidRPr="004B17DB">
        <w:rPr>
          <w:bCs/>
        </w:rPr>
        <w:t>Group Inc.</w:t>
      </w:r>
      <w:r>
        <w:rPr>
          <w:bCs/>
        </w:rPr>
        <w:t xml:space="preserve"> Due to the </w:t>
      </w:r>
      <w:r w:rsidR="00926186">
        <w:rPr>
          <w:bCs/>
        </w:rPr>
        <w:t>number</w:t>
      </w:r>
      <w:r>
        <w:rPr>
          <w:bCs/>
        </w:rPr>
        <w:t xml:space="preserve"> of companies with similar gross margin </w:t>
      </w:r>
      <w:r>
        <w:rPr>
          <w:bCs/>
        </w:rPr>
        <w:lastRenderedPageBreak/>
        <w:t xml:space="preserve">values it doesn’t appear </w:t>
      </w:r>
      <w:r w:rsidR="00926186">
        <w:rPr>
          <w:bCs/>
        </w:rPr>
        <w:t xml:space="preserve">that gross margin plays a crucial role in determining if a company is likely to go bankrupt. </w:t>
      </w:r>
    </w:p>
    <w:p w14:paraId="63E283A4" w14:textId="3C8DDC01" w:rsidR="004B17DB" w:rsidRPr="004B17DB" w:rsidRDefault="004B17DB" w:rsidP="004B17DB">
      <w:pPr>
        <w:rPr>
          <w:bCs/>
        </w:rPr>
      </w:pPr>
    </w:p>
    <w:p w14:paraId="5B3779F3" w14:textId="764C9B8D" w:rsidR="00D50082" w:rsidRDefault="00D50082" w:rsidP="00D50082">
      <w:r>
        <w:t>Image 1</w:t>
      </w:r>
      <w:r w:rsidR="00DE0498">
        <w:t>2</w:t>
      </w:r>
      <w:r>
        <w:t xml:space="preserve"> depicts the output of the mean debt/equity ratio of bankrupt companies</w:t>
      </w:r>
    </w:p>
    <w:p w14:paraId="75800DD4" w14:textId="77777777" w:rsidR="004B17DB" w:rsidRPr="004F6E53" w:rsidRDefault="004B17DB"/>
    <w:p w14:paraId="01B6AB71" w14:textId="2F2DC12B" w:rsidR="004B17DB" w:rsidRDefault="00D50082">
      <w:pPr>
        <w:rPr>
          <w:b/>
        </w:rPr>
      </w:pPr>
      <w:r w:rsidRPr="00D50082">
        <w:rPr>
          <w:b/>
        </w:rPr>
        <w:drawing>
          <wp:inline distT="0" distB="0" distL="0" distR="0" wp14:anchorId="09585462" wp14:editId="05E3F045">
            <wp:extent cx="4589417" cy="875301"/>
            <wp:effectExtent l="0" t="0" r="0" b="127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2035" cy="8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3595" w14:textId="77777777" w:rsidR="00D50082" w:rsidRDefault="00D50082">
      <w:pPr>
        <w:rPr>
          <w:b/>
        </w:rPr>
      </w:pPr>
    </w:p>
    <w:p w14:paraId="3ADBAA01" w14:textId="668A4632" w:rsidR="008B4778" w:rsidRDefault="00094DF0">
      <w:pPr>
        <w:rPr>
          <w:bCs/>
        </w:rPr>
      </w:pPr>
      <w:r>
        <w:rPr>
          <w:bCs/>
        </w:rPr>
        <w:t xml:space="preserve">After analyzing each of these financial metrics for bankrupt and S&amp;P 500 companies it appears difficult to leverage only financial metrics in order to predict if a company will go bankrupt. I believe news related to fraud or regulatory fines would be a much better indicator to determine if a company is likely face bankruptcy. </w:t>
      </w:r>
    </w:p>
    <w:p w14:paraId="33070B64" w14:textId="77777777" w:rsidR="00094DF0" w:rsidRPr="00094DF0" w:rsidRDefault="00094DF0">
      <w:pPr>
        <w:rPr>
          <w:bCs/>
        </w:rPr>
      </w:pPr>
    </w:p>
    <w:p w14:paraId="2DE9D0CC" w14:textId="597A1099" w:rsidR="009C23B9" w:rsidRDefault="002039F1">
      <w:pPr>
        <w:rPr>
          <w:b/>
        </w:rPr>
      </w:pPr>
      <w:r>
        <w:rPr>
          <w:b/>
        </w:rPr>
        <w:t xml:space="preserve">Question 2:  </w:t>
      </w:r>
    </w:p>
    <w:p w14:paraId="7DFBF19B" w14:textId="77777777" w:rsidR="009C23B9" w:rsidRDefault="009C23B9">
      <w:pPr>
        <w:rPr>
          <w:b/>
        </w:rPr>
      </w:pPr>
    </w:p>
    <w:p w14:paraId="4570BCCC" w14:textId="18C324F7" w:rsidR="009C23B9" w:rsidRDefault="00926186">
      <w:r>
        <w:t>In order to determine</w:t>
      </w:r>
      <w:r w:rsidR="00D50082">
        <w:t xml:space="preserve"> the financial indicators that influence if a company is likely to face bankruptcy</w:t>
      </w:r>
      <w:r w:rsidR="00361E8A">
        <w:t xml:space="preserve"> two machine learning models were leveraged. These models include a logistic regression model as well as a random forest model. </w:t>
      </w:r>
      <w:r w:rsidR="00954BDD">
        <w:t xml:space="preserve">All 94 financial metrics were considered in these models and the features were ranked in order of importance. The top 10 features include </w:t>
      </w:r>
      <w:r w:rsidR="00436844">
        <w:t>n</w:t>
      </w:r>
      <w:r w:rsidR="00954BDD">
        <w:t xml:space="preserve">et </w:t>
      </w:r>
      <w:r w:rsidR="00436844">
        <w:t>i</w:t>
      </w:r>
      <w:r w:rsidR="00954BDD">
        <w:t xml:space="preserve">ncome to </w:t>
      </w:r>
      <w:r w:rsidR="00436844">
        <w:t>s</w:t>
      </w:r>
      <w:r w:rsidR="00954BDD">
        <w:t xml:space="preserve">tockholder’s equity, borrowing dependency, net profit before tax/paid-in capital, net income to total assets, degree of financial leverage persistent EPS in the last four seasons, net worth/assets, interest expense ratio, net value per share, non-industry income and expenditure/ revenue. Each of </w:t>
      </w:r>
      <w:r w:rsidR="00094DF0">
        <w:t xml:space="preserve">these financial metrics </w:t>
      </w:r>
      <w:r w:rsidR="00954BDD">
        <w:t>has an importance value between 2% and 3%</w:t>
      </w:r>
      <w:r w:rsidR="00B725A5">
        <w:t xml:space="preserve">. Based on </w:t>
      </w:r>
      <w:r w:rsidR="00945222">
        <w:t xml:space="preserve">these results it does not appear that there is </w:t>
      </w:r>
      <w:r w:rsidR="00037128">
        <w:t>one</w:t>
      </w:r>
      <w:r w:rsidR="00945222">
        <w:t xml:space="preserve"> single financial metric that can be leveraged to determine if a company is likely to go bankrupt. </w:t>
      </w:r>
    </w:p>
    <w:p w14:paraId="741F9B1F" w14:textId="7B8EE3C0" w:rsidR="00954BDD" w:rsidRDefault="00954BDD"/>
    <w:p w14:paraId="33C447BE" w14:textId="18FBA597" w:rsidR="00954BDD" w:rsidRDefault="00954BDD">
      <w:r>
        <w:t>Image 1</w:t>
      </w:r>
      <w:r w:rsidR="00DE0498">
        <w:t>3</w:t>
      </w:r>
      <w:r>
        <w:t xml:space="preserve"> depicts the output of </w:t>
      </w:r>
      <w:r>
        <w:t xml:space="preserve">feature importance’s related to predicting if a company is likely to go bankrupt </w:t>
      </w:r>
    </w:p>
    <w:p w14:paraId="299C81BF" w14:textId="742A583F" w:rsidR="00954BDD" w:rsidRDefault="00954BDD"/>
    <w:p w14:paraId="71DC5356" w14:textId="77777777" w:rsidR="00094DF0" w:rsidRDefault="00954BDD" w:rsidP="00945222">
      <w:r w:rsidRPr="00954BDD">
        <w:drawing>
          <wp:inline distT="0" distB="0" distL="0" distR="0" wp14:anchorId="13E5686C" wp14:editId="273A9EA5">
            <wp:extent cx="5730240" cy="2245241"/>
            <wp:effectExtent l="0" t="0" r="0" b="3175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9775" cy="22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A326" w14:textId="77777777" w:rsidR="00436844" w:rsidRDefault="00436844" w:rsidP="00945222">
      <w:pPr>
        <w:rPr>
          <w:b/>
        </w:rPr>
      </w:pPr>
    </w:p>
    <w:p w14:paraId="095DF59A" w14:textId="116DDD0B" w:rsidR="00945222" w:rsidRPr="00094DF0" w:rsidRDefault="00945222" w:rsidP="00945222">
      <w:r>
        <w:rPr>
          <w:b/>
        </w:rPr>
        <w:lastRenderedPageBreak/>
        <w:t xml:space="preserve">Question </w:t>
      </w:r>
      <w:r>
        <w:rPr>
          <w:b/>
        </w:rPr>
        <w:t>3</w:t>
      </w:r>
      <w:r>
        <w:rPr>
          <w:b/>
        </w:rPr>
        <w:t xml:space="preserve">:  </w:t>
      </w:r>
    </w:p>
    <w:p w14:paraId="70071FA0" w14:textId="2679609C" w:rsidR="00945222" w:rsidRDefault="00945222" w:rsidP="00945222">
      <w:pPr>
        <w:rPr>
          <w:b/>
        </w:rPr>
      </w:pPr>
    </w:p>
    <w:p w14:paraId="6F14C35D" w14:textId="5974C0E8" w:rsidR="009C23B9" w:rsidRDefault="00003A58">
      <w:r>
        <w:t xml:space="preserve">In order to determine the financial indicators that </w:t>
      </w:r>
      <w:r>
        <w:t xml:space="preserve">have no influence on if </w:t>
      </w:r>
      <w:r>
        <w:t xml:space="preserve">company is likely to face bankruptcy </w:t>
      </w:r>
      <w:r>
        <w:t xml:space="preserve">the same </w:t>
      </w:r>
      <w:r>
        <w:t>machine learning models were leveraged.</w:t>
      </w:r>
      <w:r>
        <w:t xml:space="preserve"> </w:t>
      </w:r>
      <w:r w:rsidR="00AE31A8">
        <w:t xml:space="preserve">Feature importance values of 0 indicate financial metrics that have no influence on if a company is likely to face bankruptcy. As a </w:t>
      </w:r>
      <w:r w:rsidR="00094DF0">
        <w:t>1result,</w:t>
      </w:r>
      <w:r w:rsidR="00AE31A8">
        <w:t xml:space="preserve"> Revenue per person, revenue per share, quick assets/ current liability, net value growth rate, net income flag, average collection days, and allocation rate person were found to have no usefulness in predicting bankruptcy. </w:t>
      </w:r>
    </w:p>
    <w:p w14:paraId="3F56E514" w14:textId="039EF940" w:rsidR="00003A58" w:rsidRDefault="00003A58"/>
    <w:p w14:paraId="2AB95088" w14:textId="3AD770FE" w:rsidR="00003A58" w:rsidRDefault="00003A58">
      <w:r>
        <w:t>Image 1</w:t>
      </w:r>
      <w:r w:rsidR="00DE0498">
        <w:t>4</w:t>
      </w:r>
      <w:r>
        <w:t xml:space="preserve"> depicts the output of feature importance’s with values of 0</w:t>
      </w:r>
    </w:p>
    <w:p w14:paraId="706C2234" w14:textId="77777777" w:rsidR="00003A58" w:rsidRDefault="00003A58"/>
    <w:p w14:paraId="04CCBC95" w14:textId="14345386" w:rsidR="00003A58" w:rsidRDefault="00003A58">
      <w:pPr>
        <w:rPr>
          <w:b/>
        </w:rPr>
      </w:pPr>
      <w:r>
        <w:t xml:space="preserve"> </w:t>
      </w:r>
      <w:r w:rsidRPr="00003A58">
        <w:drawing>
          <wp:inline distT="0" distB="0" distL="0" distR="0" wp14:anchorId="3674E68A" wp14:editId="549EC333">
            <wp:extent cx="3570514" cy="1273751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830" cy="13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C2B" w14:textId="3469A3A6" w:rsidR="009C23B9" w:rsidRDefault="009C23B9">
      <w:pPr>
        <w:rPr>
          <w:b/>
        </w:rPr>
      </w:pPr>
    </w:p>
    <w:p w14:paraId="77B497F4" w14:textId="77777777" w:rsidR="009C23B9" w:rsidRDefault="009C23B9">
      <w:pPr>
        <w:rPr>
          <w:b/>
        </w:rPr>
      </w:pPr>
    </w:p>
    <w:p w14:paraId="66365D88" w14:textId="77777777" w:rsidR="009C23B9" w:rsidRDefault="009C23B9">
      <w:pPr>
        <w:rPr>
          <w:b/>
        </w:rPr>
      </w:pPr>
    </w:p>
    <w:sectPr w:rsidR="009C23B9">
      <w:footerReference w:type="default" r:id="rId23"/>
      <w:footerReference w:type="first" r:id="rId24"/>
      <w:pgSz w:w="12240" w:h="15840"/>
      <w:pgMar w:top="1901" w:right="1008" w:bottom="1440" w:left="1008" w:header="720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43F7" w14:textId="77777777" w:rsidR="002039F1" w:rsidRDefault="002039F1">
      <w:r>
        <w:separator/>
      </w:r>
    </w:p>
  </w:endnote>
  <w:endnote w:type="continuationSeparator" w:id="0">
    <w:p w14:paraId="1A89AB4C" w14:textId="77777777" w:rsidR="002039F1" w:rsidRDefault="002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B3E54" w14:textId="77777777" w:rsidR="009C23B9" w:rsidRDefault="002039F1"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  <w:between w:val="nil"/>
      </w:pBdr>
      <w:shd w:val="clear" w:color="auto" w:fill="0072C6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924DD9">
      <w:rPr>
        <w:noProof/>
        <w:color w:val="FFFFFF"/>
      </w:rPr>
      <w:t>2</w:t>
    </w:r>
    <w:r>
      <w:rPr>
        <w:color w:va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7B9A" w14:textId="77777777" w:rsidR="009C23B9" w:rsidRDefault="002039F1"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  <w:between w:val="nil"/>
      </w:pBdr>
      <w:shd w:val="clear" w:color="auto" w:fill="0072C6"/>
      <w:rPr>
        <w:color w:val="FFFFFF"/>
      </w:rPr>
    </w:pPr>
    <w:r>
      <w:rPr>
        <w:color w:val="FFFFFF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6A7C" w14:textId="77777777" w:rsidR="002039F1" w:rsidRDefault="002039F1">
      <w:r>
        <w:separator/>
      </w:r>
    </w:p>
  </w:footnote>
  <w:footnote w:type="continuationSeparator" w:id="0">
    <w:p w14:paraId="520072F0" w14:textId="77777777" w:rsidR="002039F1" w:rsidRDefault="00203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4DC"/>
    <w:multiLevelType w:val="hybridMultilevel"/>
    <w:tmpl w:val="BE1014C4"/>
    <w:lvl w:ilvl="0" w:tplc="5C14C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54"/>
    <w:multiLevelType w:val="multilevel"/>
    <w:tmpl w:val="DB644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82395B"/>
    <w:multiLevelType w:val="hybridMultilevel"/>
    <w:tmpl w:val="1772B76A"/>
    <w:lvl w:ilvl="0" w:tplc="E8D86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A3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8CF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84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E8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88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164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96F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E2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051447"/>
    <w:multiLevelType w:val="multilevel"/>
    <w:tmpl w:val="25E06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D6EB5"/>
    <w:multiLevelType w:val="multilevel"/>
    <w:tmpl w:val="C526F8C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55C1DB8"/>
    <w:multiLevelType w:val="hybridMultilevel"/>
    <w:tmpl w:val="A46C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56406">
    <w:abstractNumId w:val="1"/>
  </w:num>
  <w:num w:numId="2" w16cid:durableId="788284899">
    <w:abstractNumId w:val="3"/>
  </w:num>
  <w:num w:numId="3" w16cid:durableId="1368945512">
    <w:abstractNumId w:val="4"/>
  </w:num>
  <w:num w:numId="4" w16cid:durableId="10611763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5517413">
    <w:abstractNumId w:val="0"/>
  </w:num>
  <w:num w:numId="6" w16cid:durableId="1662924644">
    <w:abstractNumId w:val="5"/>
  </w:num>
  <w:num w:numId="7" w16cid:durableId="148393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B9"/>
    <w:rsid w:val="00003A58"/>
    <w:rsid w:val="00037128"/>
    <w:rsid w:val="000569CC"/>
    <w:rsid w:val="00094DF0"/>
    <w:rsid w:val="000E4FCC"/>
    <w:rsid w:val="002039F1"/>
    <w:rsid w:val="00361E8A"/>
    <w:rsid w:val="00394E3A"/>
    <w:rsid w:val="003D0A1A"/>
    <w:rsid w:val="00436844"/>
    <w:rsid w:val="00441B3F"/>
    <w:rsid w:val="00442195"/>
    <w:rsid w:val="00470C46"/>
    <w:rsid w:val="004A731C"/>
    <w:rsid w:val="004B17DB"/>
    <w:rsid w:val="004F6E53"/>
    <w:rsid w:val="0065456F"/>
    <w:rsid w:val="0077095B"/>
    <w:rsid w:val="007C464C"/>
    <w:rsid w:val="008B4778"/>
    <w:rsid w:val="008C05E8"/>
    <w:rsid w:val="00924DD9"/>
    <w:rsid w:val="00926186"/>
    <w:rsid w:val="00945222"/>
    <w:rsid w:val="00954BDD"/>
    <w:rsid w:val="00960061"/>
    <w:rsid w:val="009C23B9"/>
    <w:rsid w:val="00A11253"/>
    <w:rsid w:val="00A36AD8"/>
    <w:rsid w:val="00AE31A8"/>
    <w:rsid w:val="00AE515E"/>
    <w:rsid w:val="00AF12CB"/>
    <w:rsid w:val="00B725A5"/>
    <w:rsid w:val="00BA7EAC"/>
    <w:rsid w:val="00C82205"/>
    <w:rsid w:val="00CC544E"/>
    <w:rsid w:val="00D50082"/>
    <w:rsid w:val="00DE0498"/>
    <w:rsid w:val="00F106B4"/>
    <w:rsid w:val="00F8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06BC0"/>
  <w15:docId w15:val="{FA6162B0-1EA2-454E-8F55-7868E85D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E7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table" w:styleId="ListTable3-Accent1">
    <w:name w:val="List Table 3 Accent 1"/>
    <w:basedOn w:val="TableNormal"/>
    <w:uiPriority w:val="48"/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720"/>
    </w:pPr>
    <w:rPr>
      <w:smallCap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tabs>
        <w:tab w:val="num" w:pos="720"/>
      </w:tabs>
      <w:ind w:left="720" w:hanging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NormalWeb">
    <w:name w:val="Normal (Web)"/>
    <w:basedOn w:val="Normal"/>
    <w:uiPriority w:val="99"/>
    <w:semiHidden/>
    <w:unhideWhenUsed/>
    <w:rsid w:val="00AC75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62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917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viz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ikCsaWvC8lOcBSnZykZNpoaGFg==">AMUW2mWKRovzKKa8y5u8dPd34iFeokhSAFtJiUGi8wQa4qIBYyMV+E1bRfRK1gCE+Lx9NZSoaI9h3Wsqw1wcrb8xIsETZ2eHYpQMTwIyurlz22cvwOxi+kM=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George Smith</cp:lastModifiedBy>
  <cp:revision>9</cp:revision>
  <dcterms:created xsi:type="dcterms:W3CDTF">2022-03-27T16:16:00Z</dcterms:created>
  <dcterms:modified xsi:type="dcterms:W3CDTF">2022-03-27T22:57:00Z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