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700AD">
        <w:rPr>
          <w:rFonts w:ascii="Times New Roman" w:hAnsi="Times New Roman" w:cs="Times New Roman"/>
          <w:b/>
          <w:bCs/>
          <w:lang w:val="uk-UA" w:eastAsia="zh-CN"/>
        </w:rPr>
        <w:t>0109кв36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700A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29.11.2023</w:t>
            </w:r>
            <w:r w:rsidR="007F56EA">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 </w:t>
      </w:r>
      <w:r w:rsidR="00921D2E" w:rsidRPr="000B2FA5">
        <w:rPr>
          <w:rFonts w:ascii="Times New Roman" w:hAnsi="Times New Roman" w:cs="Times New Roman"/>
          <w:b/>
          <w:bCs/>
          <w:lang w:val="uk-UA"/>
        </w:rPr>
        <w:t xml:space="preserve">Громадянин України </w:t>
      </w:r>
      <w:r w:rsidR="00F700AD">
        <w:rPr>
          <w:rFonts w:ascii="Times New Roman" w:hAnsi="Times New Roman" w:cs="Times New Roman"/>
          <w:b/>
          <w:bCs/>
          <w:lang w:val="uk-UA"/>
        </w:rPr>
        <w:t>Кривко Ігор Михайлович</w:t>
      </w:r>
      <w:r w:rsidR="007F56EA" w:rsidRPr="007F56EA">
        <w:rPr>
          <w:rFonts w:ascii="Times New Roman" w:hAnsi="Times New Roman" w:cs="Times New Roman"/>
          <w:b/>
          <w:bCs/>
          <w:lang w:val="uk-UA"/>
        </w:rPr>
        <w:t xml:space="preserve"> </w:t>
      </w:r>
      <w:r w:rsidR="00F700AD">
        <w:rPr>
          <w:rFonts w:ascii="Times New Roman" w:hAnsi="Times New Roman" w:cs="Times New Roman"/>
          <w:b/>
          <w:bCs/>
          <w:lang w:val="uk-UA"/>
        </w:rPr>
        <w:t>10.11.1960</w:t>
      </w:r>
      <w:r w:rsidR="00E92F25" w:rsidRPr="00E92F25">
        <w:rPr>
          <w:rFonts w:ascii="Times New Roman" w:hAnsi="Times New Roman" w:cs="Times New Roman"/>
          <w:b/>
          <w:bCs/>
          <w:lang w:val="uk-UA"/>
        </w:rPr>
        <w:t xml:space="preserve"> </w:t>
      </w:r>
      <w:r w:rsidR="007F56EA">
        <w:rPr>
          <w:rFonts w:ascii="Times New Roman" w:hAnsi="Times New Roman" w:cs="Times New Roman"/>
          <w:b/>
          <w:bCs/>
          <w:lang w:val="uk-UA"/>
        </w:rPr>
        <w:t xml:space="preserve">р.н. </w:t>
      </w:r>
      <w:r w:rsidR="007F56EA" w:rsidRPr="000B2FA5">
        <w:rPr>
          <w:rFonts w:ascii="Times New Roman" w:hAnsi="Times New Roman" w:cs="Times New Roman"/>
          <w:lang w:val="uk-UA"/>
        </w:rPr>
        <w:t>надалі іменується в цьому Договорі «</w:t>
      </w:r>
      <w:r w:rsidR="007F56EA" w:rsidRPr="000B2FA5">
        <w:rPr>
          <w:rFonts w:ascii="Times New Roman" w:hAnsi="Times New Roman" w:cs="Times New Roman"/>
          <w:b/>
          <w:bCs/>
          <w:lang w:val="uk-UA"/>
        </w:rPr>
        <w:t>Учасник</w:t>
      </w:r>
      <w:r w:rsidR="007F56EA">
        <w:rPr>
          <w:rFonts w:ascii="Times New Roman" w:hAnsi="Times New Roman" w:cs="Times New Roman"/>
          <w:b/>
          <w:bCs/>
          <w:lang w:val="uk-UA"/>
        </w:rPr>
        <w:t xml:space="preserve"> 1</w:t>
      </w:r>
      <w:r w:rsidR="007F56EA" w:rsidRPr="000B2FA5">
        <w:rPr>
          <w:rFonts w:ascii="Times New Roman" w:hAnsi="Times New Roman" w:cs="Times New Roman"/>
          <w:b/>
          <w:bCs/>
          <w:lang w:val="uk-UA"/>
        </w:rPr>
        <w:t>»</w:t>
      </w:r>
      <w:r w:rsidR="007F56EA">
        <w:rPr>
          <w:rFonts w:ascii="Times New Roman" w:hAnsi="Times New Roman" w:cs="Times New Roman"/>
          <w:b/>
          <w:bCs/>
          <w:lang w:val="uk-UA"/>
        </w:rPr>
        <w:t xml:space="preserve"> </w:t>
      </w:r>
      <w:r w:rsidR="007F56EA" w:rsidRPr="007F56EA">
        <w:rPr>
          <w:rFonts w:ascii="Times New Roman" w:hAnsi="Times New Roman" w:cs="Times New Roman"/>
          <w:bCs/>
          <w:lang w:val="uk-UA"/>
        </w:rPr>
        <w:t>та</w:t>
      </w:r>
      <w:r w:rsidR="007F56EA">
        <w:rPr>
          <w:rFonts w:ascii="Times New Roman" w:hAnsi="Times New Roman" w:cs="Times New Roman"/>
          <w:b/>
          <w:bCs/>
          <w:lang w:val="uk-UA"/>
        </w:rPr>
        <w:t xml:space="preserve"> </w:t>
      </w:r>
      <w:r w:rsidR="007F56EA" w:rsidRPr="000B2FA5">
        <w:rPr>
          <w:rFonts w:ascii="Times New Roman" w:hAnsi="Times New Roman" w:cs="Times New Roman"/>
          <w:b/>
          <w:bCs/>
          <w:lang w:val="uk-UA"/>
        </w:rPr>
        <w:t>Громадянин України</w:t>
      </w:r>
      <w:r w:rsidR="007F56EA">
        <w:rPr>
          <w:rFonts w:ascii="Times New Roman" w:hAnsi="Times New Roman" w:cs="Times New Roman"/>
          <w:b/>
          <w:bCs/>
          <w:lang w:val="uk-UA"/>
        </w:rPr>
        <w:t xml:space="preserve"> Стасюк Михайло Васильович 13.05.1961 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007F56EA">
        <w:rPr>
          <w:rFonts w:ascii="Times New Roman" w:hAnsi="Times New Roman" w:cs="Times New Roman"/>
          <w:b/>
          <w:bCs/>
          <w:lang w:val="uk-UA"/>
        </w:rPr>
        <w:t xml:space="preserve"> 2</w:t>
      </w:r>
      <w:r w:rsidRPr="000B2FA5">
        <w:rPr>
          <w:rFonts w:ascii="Times New Roman" w:hAnsi="Times New Roman" w:cs="Times New Roman"/>
          <w:b/>
          <w:bCs/>
          <w:lang w:val="uk-UA"/>
        </w:rPr>
        <w:t>»</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7F56EA" w:rsidRPr="000B2FA5" w:rsidRDefault="007F56EA"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700A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700A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700A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700A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700A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64,51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700A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700A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700A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700AD">
        <w:rPr>
          <w:rFonts w:ascii="Times New Roman" w:hAnsi="Times New Roman" w:cs="Times New Roman"/>
          <w:b/>
          <w:spacing w:val="-4"/>
          <w:sz w:val="16"/>
          <w:szCs w:val="16"/>
          <w:lang w:val="ru-RU"/>
        </w:rPr>
        <w:t>317611 гривень та 23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700AD">
        <w:rPr>
          <w:rFonts w:ascii="Times New Roman" w:hAnsi="Times New Roman" w:cs="Times New Roman"/>
          <w:b/>
          <w:sz w:val="16"/>
          <w:szCs w:val="16"/>
        </w:rPr>
        <w:t>7940 доларів США та 28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700AD">
              <w:rPr>
                <w:rFonts w:ascii="Times New Roman" w:hAnsi="Times New Roman" w:cs="Times New Roman"/>
                <w:color w:val="000000"/>
                <w:lang w:val="uk-UA"/>
              </w:rPr>
              <w:t>29.02.2024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700A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700AD">
              <w:rPr>
                <w:rFonts w:ascii="Times New Roman" w:hAnsi="Times New Roman" w:cs="Times New Roman"/>
                <w:color w:val="000000"/>
                <w:lang w:val="uk-UA"/>
              </w:rPr>
              <w:t>29.05.2024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700AD" w:rsidP="007E1A64">
            <w:pPr>
              <w:ind w:right="-168"/>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700AD">
              <w:rPr>
                <w:rFonts w:ascii="Times New Roman" w:hAnsi="Times New Roman" w:cs="Times New Roman"/>
                <w:color w:val="000000"/>
                <w:lang w:val="uk-UA"/>
              </w:rPr>
              <w:t>29.08.2024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700AD" w:rsidP="007E1A64">
            <w:pPr>
              <w:ind w:right="-50"/>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700AD">
              <w:rPr>
                <w:rFonts w:ascii="Times New Roman" w:hAnsi="Times New Roman" w:cs="Times New Roman"/>
                <w:color w:val="000000"/>
                <w:lang w:val="uk-UA"/>
              </w:rPr>
              <w:t>29.11.2024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700AD" w:rsidP="007E1A64">
            <w:pPr>
              <w:ind w:right="-102"/>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00AD">
              <w:rPr>
                <w:rFonts w:ascii="Times New Roman" w:hAnsi="Times New Roman" w:cs="Times New Roman"/>
                <w:color w:val="000000"/>
                <w:lang w:val="uk-UA"/>
              </w:rPr>
              <w:t>28.02.2025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700A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00AD">
              <w:rPr>
                <w:rFonts w:ascii="Times New Roman" w:hAnsi="Times New Roman" w:cs="Times New Roman"/>
                <w:color w:val="000000"/>
                <w:lang w:val="uk-UA"/>
              </w:rPr>
              <w:t>28.05.2025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700AD" w:rsidP="007E1A64">
            <w:pPr>
              <w:ind w:right="-168"/>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00AD">
              <w:rPr>
                <w:rFonts w:ascii="Times New Roman" w:hAnsi="Times New Roman" w:cs="Times New Roman"/>
                <w:color w:val="000000"/>
                <w:lang w:val="uk-UA"/>
              </w:rPr>
              <w:t>28.08.2025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700AD" w:rsidP="001E0FA9">
            <w:pPr>
              <w:ind w:right="-5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700AD">
              <w:rPr>
                <w:rFonts w:ascii="Times New Roman" w:hAnsi="Times New Roman" w:cs="Times New Roman"/>
                <w:color w:val="000000"/>
                <w:lang w:val="uk-UA"/>
              </w:rPr>
              <w:t>28.11.2025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700AD"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w:t>
      </w:r>
      <w:r w:rsidRPr="000B2FA5">
        <w:rPr>
          <w:rFonts w:ascii="Times New Roman" w:hAnsi="Times New Roman" w:cs="Times New Roman"/>
          <w:spacing w:val="-2"/>
          <w:sz w:val="16"/>
          <w:szCs w:val="16"/>
        </w:rPr>
        <w:lastRenderedPageBreak/>
        <w:t>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7F56EA" w:rsidRPr="000B2FA5" w:rsidRDefault="007F56EA" w:rsidP="007F56E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r w:rsidR="00833689">
              <w:rPr>
                <w:rFonts w:ascii="Times New Roman" w:hAnsi="Times New Roman" w:cs="Times New Roman"/>
                <w:b/>
                <w:bCs/>
                <w:u w:val="single"/>
                <w:lang w:val="uk-UA"/>
              </w:rPr>
              <w:t xml:space="preserve"> 1</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700AD">
              <w:rPr>
                <w:rFonts w:ascii="Times New Roman" w:hAnsi="Times New Roman" w:cs="Times New Roman"/>
                <w:bCs/>
                <w:lang w:val="uk-UA"/>
              </w:rPr>
              <w:t>Кривко Ігор Михайлович</w:t>
            </w:r>
            <w:r w:rsidR="00833689">
              <w:rPr>
                <w:rFonts w:ascii="Times New Roman" w:hAnsi="Times New Roman" w:cs="Times New Roman"/>
                <w:bCs/>
                <w:lang w:val="uk-UA"/>
              </w:rPr>
              <w:t xml:space="preserve">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700AD">
              <w:rPr>
                <w:rFonts w:ascii="Times New Roman" w:hAnsi="Times New Roman" w:cs="Times New Roman"/>
                <w:lang w:val="uk-UA"/>
              </w:rPr>
              <w:t>СС 663962</w:t>
            </w:r>
          </w:p>
          <w:p w:rsidR="0083368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700AD">
              <w:rPr>
                <w:rFonts w:ascii="Times New Roman" w:hAnsi="Times New Roman" w:cs="Times New Roman"/>
                <w:lang w:val="uk-UA"/>
              </w:rPr>
              <w:t xml:space="preserve">Городенківським РВ УМВС України </w:t>
            </w:r>
          </w:p>
          <w:p w:rsidR="005949F0" w:rsidRPr="000B2FA5" w:rsidRDefault="00F700AD"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F700AD" w:rsidP="00104E65">
            <w:pPr>
              <w:snapToGrid w:val="0"/>
              <w:spacing w:before="0"/>
              <w:jc w:val="center"/>
              <w:rPr>
                <w:rFonts w:ascii="Times New Roman" w:hAnsi="Times New Roman" w:cs="Times New Roman"/>
                <w:lang w:val="uk-UA"/>
              </w:rPr>
            </w:pPr>
            <w:r>
              <w:rPr>
                <w:rFonts w:ascii="Times New Roman" w:hAnsi="Times New Roman" w:cs="Times New Roman"/>
                <w:lang w:val="uk-UA"/>
              </w:rPr>
              <w:t>24 грудня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33689">
              <w:rPr>
                <w:rFonts w:ascii="Times New Roman" w:hAnsi="Times New Roman" w:cs="Times New Roman"/>
                <w:lang w:val="uk-UA"/>
              </w:rPr>
              <w:t>Івано-Франківсь</w:t>
            </w:r>
            <w:r w:rsidR="00F700AD">
              <w:rPr>
                <w:rFonts w:ascii="Times New Roman" w:hAnsi="Times New Roman" w:cs="Times New Roman"/>
                <w:lang w:val="uk-UA"/>
              </w:rPr>
              <w:t>ка область</w:t>
            </w:r>
          </w:p>
          <w:p w:rsidR="005949F0" w:rsidRDefault="00F700AD" w:rsidP="005949F0">
            <w:pPr>
              <w:snapToGrid w:val="0"/>
              <w:spacing w:before="0"/>
              <w:jc w:val="center"/>
              <w:rPr>
                <w:rFonts w:ascii="Times New Roman" w:hAnsi="Times New Roman" w:cs="Times New Roman"/>
                <w:lang w:val="uk-UA"/>
              </w:rPr>
            </w:pPr>
            <w:r>
              <w:rPr>
                <w:rFonts w:ascii="Times New Roman" w:hAnsi="Times New Roman" w:cs="Times New Roman"/>
                <w:lang w:val="uk-UA"/>
              </w:rPr>
              <w:t>Городенківський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Олієво-Королівка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71A6F">
              <w:rPr>
                <w:rFonts w:ascii="Times New Roman" w:hAnsi="Times New Roman" w:cs="Times New Roman"/>
                <w:lang w:val="uk-UA"/>
              </w:rPr>
              <w:t xml:space="preserve"> </w:t>
            </w:r>
            <w:r w:rsidR="00F700AD">
              <w:rPr>
                <w:rFonts w:ascii="Times New Roman" w:hAnsi="Times New Roman" w:cs="Times New Roman"/>
                <w:lang w:val="uk-UA"/>
              </w:rPr>
              <w:t>2222920192</w:t>
            </w:r>
          </w:p>
          <w:p w:rsidR="00355B15" w:rsidRPr="00EB22E9" w:rsidRDefault="00BD43C5" w:rsidP="008949F6">
            <w:pPr>
              <w:snapToGrid w:val="0"/>
              <w:spacing w:before="0"/>
              <w:jc w:val="center"/>
              <w:rPr>
                <w:rFonts w:ascii="Times New Roman" w:hAnsi="Times New Roman" w:cs="Times New Roman"/>
                <w:lang w:val="en-US"/>
              </w:rPr>
            </w:pPr>
            <w:r w:rsidRPr="000B2FA5">
              <w:rPr>
                <w:rFonts w:ascii="Times New Roman" w:hAnsi="Times New Roman" w:cs="Times New Roman"/>
                <w:lang w:val="uk-UA"/>
              </w:rPr>
              <w:t xml:space="preserve">Номер телефону: </w:t>
            </w:r>
            <w:r w:rsidR="00F700AD">
              <w:rPr>
                <w:rFonts w:ascii="Times New Roman" w:hAnsi="Times New Roman" w:cs="Times New Roman"/>
                <w:lang w:val="uk-UA"/>
              </w:rPr>
              <w:t>+447424078089</w:t>
            </w:r>
            <w:r w:rsidR="00EB22E9">
              <w:rPr>
                <w:rFonts w:ascii="Times New Roman" w:hAnsi="Times New Roman" w:cs="Times New Roman"/>
                <w:lang w:val="en-US"/>
              </w:rPr>
              <w:t xml:space="preserve"> 0961042141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700AD">
              <w:rPr>
                <w:rFonts w:ascii="Times New Roman" w:hAnsi="Times New Roman" w:cs="Times New Roman"/>
                <w:b/>
                <w:bCs/>
                <w:u w:val="single"/>
                <w:lang w:val="uk-UA"/>
              </w:rPr>
              <w:t>Кривко І.М.</w:t>
            </w:r>
          </w:p>
          <w:p w:rsidR="00C14B9C" w:rsidRPr="006F2BC5" w:rsidRDefault="00C14B9C" w:rsidP="00321A7D">
            <w:pPr>
              <w:rPr>
                <w:rFonts w:ascii="Times New Roman" w:hAnsi="Times New Roman" w:cs="Times New Roman"/>
                <w:b/>
                <w:bCs/>
                <w:spacing w:val="-14"/>
                <w:lang w:val="uk-UA"/>
              </w:rPr>
            </w:pPr>
          </w:p>
        </w:tc>
      </w:tr>
    </w:tbl>
    <w:p w:rsidR="00C14B9C" w:rsidRDefault="00C14B9C" w:rsidP="00617784">
      <w:pPr>
        <w:pStyle w:val="12"/>
        <w:tabs>
          <w:tab w:val="left" w:pos="360"/>
          <w:tab w:val="left" w:pos="540"/>
        </w:tabs>
        <w:spacing w:before="0" w:after="0"/>
        <w:jc w:val="both"/>
        <w:rPr>
          <w:rFonts w:ascii="Times New Roman" w:hAnsi="Times New Roman" w:cs="Times New Roman"/>
          <w:sz w:val="16"/>
          <w:szCs w:val="16"/>
        </w:rPr>
      </w:pPr>
    </w:p>
    <w:p w:rsidR="00833689" w:rsidRDefault="00833689" w:rsidP="00617784">
      <w:pPr>
        <w:pStyle w:val="12"/>
        <w:tabs>
          <w:tab w:val="left" w:pos="360"/>
          <w:tab w:val="left" w:pos="540"/>
        </w:tabs>
        <w:spacing w:before="0" w:after="0"/>
        <w:jc w:val="both"/>
        <w:rPr>
          <w:rFonts w:ascii="Times New Roman" w:hAnsi="Times New Roman" w:cs="Times New Roman"/>
          <w:sz w:val="16"/>
          <w:szCs w:val="16"/>
        </w:rPr>
      </w:pPr>
    </w:p>
    <w:p w:rsidR="00833689" w:rsidRDefault="00833689" w:rsidP="00617784">
      <w:pPr>
        <w:pStyle w:val="12"/>
        <w:tabs>
          <w:tab w:val="left" w:pos="360"/>
          <w:tab w:val="left" w:pos="540"/>
        </w:tabs>
        <w:spacing w:before="0" w:after="0"/>
        <w:jc w:val="both"/>
        <w:rPr>
          <w:rFonts w:ascii="Times New Roman" w:hAnsi="Times New Roman" w:cs="Times New Roman"/>
          <w:sz w:val="16"/>
          <w:szCs w:val="16"/>
        </w:rPr>
      </w:pPr>
    </w:p>
    <w:p w:rsidR="00833689" w:rsidRDefault="00833689" w:rsidP="00617784">
      <w:pPr>
        <w:pStyle w:val="12"/>
        <w:tabs>
          <w:tab w:val="left" w:pos="360"/>
          <w:tab w:val="left" w:pos="540"/>
        </w:tabs>
        <w:spacing w:before="0" w:after="0"/>
        <w:jc w:val="both"/>
        <w:rPr>
          <w:rFonts w:ascii="Times New Roman" w:hAnsi="Times New Roman" w:cs="Times New Roman"/>
          <w:sz w:val="16"/>
          <w:szCs w:val="16"/>
        </w:rPr>
      </w:pPr>
    </w:p>
    <w:p w:rsidR="00833689" w:rsidRDefault="00833689" w:rsidP="00617784">
      <w:pPr>
        <w:pStyle w:val="12"/>
        <w:tabs>
          <w:tab w:val="left" w:pos="360"/>
          <w:tab w:val="left" w:pos="540"/>
        </w:tabs>
        <w:spacing w:before="0" w:after="0"/>
        <w:jc w:val="both"/>
        <w:rPr>
          <w:rFonts w:ascii="Times New Roman" w:hAnsi="Times New Roman" w:cs="Times New Roman"/>
          <w:sz w:val="16"/>
          <w:szCs w:val="16"/>
        </w:rPr>
      </w:pPr>
    </w:p>
    <w:tbl>
      <w:tblPr>
        <w:tblW w:w="0" w:type="auto"/>
        <w:tblInd w:w="2" w:type="dxa"/>
        <w:tblLayout w:type="fixed"/>
        <w:tblLook w:val="0000"/>
      </w:tblPr>
      <w:tblGrid>
        <w:gridCol w:w="4860"/>
      </w:tblGrid>
      <w:tr w:rsidR="00833689" w:rsidRPr="000B2FA5" w:rsidTr="00B12420">
        <w:trPr>
          <w:trHeight w:val="348"/>
        </w:trPr>
        <w:tc>
          <w:tcPr>
            <w:tcW w:w="4860" w:type="dxa"/>
          </w:tcPr>
          <w:p w:rsidR="00833689" w:rsidRPr="000B2FA5" w:rsidRDefault="00833689" w:rsidP="00B12420">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2</w:t>
            </w:r>
          </w:p>
        </w:tc>
      </w:tr>
      <w:tr w:rsidR="00833689" w:rsidRPr="00912318" w:rsidTr="00B12420">
        <w:trPr>
          <w:trHeight w:val="1910"/>
        </w:trPr>
        <w:tc>
          <w:tcPr>
            <w:tcW w:w="4860" w:type="dxa"/>
            <w:tcBorders>
              <w:left w:val="nil"/>
            </w:tcBorders>
          </w:tcPr>
          <w:p w:rsidR="00833689" w:rsidRPr="000B2FA5" w:rsidRDefault="00833689" w:rsidP="00B12420">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Pr>
                <w:rFonts w:ascii="Times New Roman" w:hAnsi="Times New Roman" w:cs="Times New Roman"/>
                <w:bCs/>
                <w:lang w:val="uk-UA"/>
              </w:rPr>
              <w:t xml:space="preserve">Стасюк Михайло Васильович  </w:t>
            </w:r>
          </w:p>
          <w:p w:rsidR="00833689" w:rsidRPr="008949F6" w:rsidRDefault="00833689" w:rsidP="00B12420">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Pr="008949F6">
              <w:rPr>
                <w:rFonts w:ascii="Times New Roman" w:hAnsi="Times New Roman" w:cs="Times New Roman"/>
                <w:lang w:val="uk-UA"/>
              </w:rPr>
              <w:t>:</w:t>
            </w:r>
            <w:r>
              <w:rPr>
                <w:rFonts w:ascii="Times New Roman" w:hAnsi="Times New Roman" w:cs="Times New Roman"/>
                <w:lang w:val="uk-UA"/>
              </w:rPr>
              <w:t>СС 089086</w:t>
            </w:r>
          </w:p>
          <w:p w:rsidR="00833689" w:rsidRDefault="00833689" w:rsidP="00B12420">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Pr>
                <w:rFonts w:ascii="Times New Roman" w:hAnsi="Times New Roman" w:cs="Times New Roman"/>
                <w:lang w:val="uk-UA"/>
              </w:rPr>
              <w:t xml:space="preserve">: Городенківським РВ УМВС України </w:t>
            </w:r>
          </w:p>
          <w:p w:rsidR="00833689" w:rsidRPr="000B2FA5" w:rsidRDefault="00833689" w:rsidP="00B12420">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833689" w:rsidRPr="000B2FA5" w:rsidRDefault="00471A6F" w:rsidP="00B12420">
            <w:pPr>
              <w:snapToGrid w:val="0"/>
              <w:spacing w:before="0"/>
              <w:jc w:val="center"/>
              <w:rPr>
                <w:rFonts w:ascii="Times New Roman" w:hAnsi="Times New Roman" w:cs="Times New Roman"/>
                <w:lang w:val="uk-UA"/>
              </w:rPr>
            </w:pPr>
            <w:r>
              <w:rPr>
                <w:rFonts w:ascii="Times New Roman" w:hAnsi="Times New Roman" w:cs="Times New Roman"/>
                <w:lang w:val="uk-UA"/>
              </w:rPr>
              <w:t>09 квітня 1996</w:t>
            </w:r>
            <w:r w:rsidR="00833689">
              <w:rPr>
                <w:rFonts w:ascii="Times New Roman" w:hAnsi="Times New Roman" w:cs="Times New Roman"/>
                <w:lang w:val="uk-UA"/>
              </w:rPr>
              <w:t xml:space="preserve"> року</w:t>
            </w:r>
          </w:p>
          <w:p w:rsidR="00833689" w:rsidRDefault="00833689" w:rsidP="00B1242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Pr>
                <w:rFonts w:ascii="Times New Roman" w:hAnsi="Times New Roman" w:cs="Times New Roman"/>
                <w:lang w:val="uk-UA"/>
              </w:rPr>
              <w:t>: Івано-Франківська область</w:t>
            </w:r>
          </w:p>
          <w:p w:rsidR="00833689" w:rsidRDefault="00833689" w:rsidP="00B12420">
            <w:pPr>
              <w:snapToGrid w:val="0"/>
              <w:spacing w:before="0"/>
              <w:jc w:val="center"/>
              <w:rPr>
                <w:rFonts w:ascii="Times New Roman" w:hAnsi="Times New Roman" w:cs="Times New Roman"/>
                <w:lang w:val="uk-UA"/>
              </w:rPr>
            </w:pPr>
            <w:r>
              <w:rPr>
                <w:rFonts w:ascii="Times New Roman" w:hAnsi="Times New Roman" w:cs="Times New Roman"/>
                <w:lang w:val="uk-UA"/>
              </w:rPr>
              <w:t>Городенківський район, с. Олієво-Королівка</w:t>
            </w:r>
          </w:p>
          <w:p w:rsidR="00833689" w:rsidRPr="000B2FA5" w:rsidRDefault="00471A6F" w:rsidP="00B12420">
            <w:pPr>
              <w:snapToGrid w:val="0"/>
              <w:spacing w:before="0"/>
              <w:jc w:val="center"/>
              <w:rPr>
                <w:rFonts w:ascii="Times New Roman" w:hAnsi="Times New Roman" w:cs="Times New Roman"/>
                <w:lang w:val="uk-UA"/>
              </w:rPr>
            </w:pPr>
            <w:r>
              <w:rPr>
                <w:rFonts w:ascii="Times New Roman" w:hAnsi="Times New Roman" w:cs="Times New Roman"/>
                <w:lang w:val="uk-UA"/>
              </w:rPr>
              <w:t>вул. Комарова 10</w:t>
            </w:r>
          </w:p>
          <w:p w:rsidR="00833689" w:rsidRPr="000B2FA5" w:rsidRDefault="00833689" w:rsidP="00B12420">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Pr>
                <w:rFonts w:ascii="Times New Roman" w:hAnsi="Times New Roman" w:cs="Times New Roman"/>
                <w:lang w:val="uk-UA"/>
              </w:rPr>
              <w:t xml:space="preserve"> </w:t>
            </w:r>
            <w:r>
              <w:rPr>
                <w:rFonts w:ascii="Times New Roman" w:hAnsi="Times New Roman" w:cs="Times New Roman"/>
                <w:lang w:val="uk-UA"/>
              </w:rPr>
              <w:t>22</w:t>
            </w:r>
            <w:r>
              <w:rPr>
                <w:rFonts w:ascii="Times New Roman" w:hAnsi="Times New Roman" w:cs="Times New Roman"/>
                <w:lang w:val="uk-UA"/>
              </w:rPr>
              <w:t>41311199</w:t>
            </w:r>
          </w:p>
          <w:p w:rsidR="00833689" w:rsidRPr="00912318" w:rsidRDefault="00833689" w:rsidP="00B12420">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B22E9">
              <w:rPr>
                <w:rFonts w:ascii="Times New Roman" w:hAnsi="Times New Roman" w:cs="Times New Roman"/>
                <w:color w:val="000000"/>
                <w:shd w:val="clear" w:color="auto" w:fill="FFFFFF"/>
              </w:rPr>
              <w:t>09645167</w:t>
            </w:r>
            <w:r w:rsidR="00EB22E9" w:rsidRPr="00EB22E9">
              <w:rPr>
                <w:rFonts w:ascii="Times New Roman" w:hAnsi="Times New Roman" w:cs="Times New Roman"/>
                <w:color w:val="000000"/>
                <w:shd w:val="clear" w:color="auto" w:fill="FFFFFF"/>
              </w:rPr>
              <w:t>32</w:t>
            </w:r>
          </w:p>
        </w:tc>
      </w:tr>
      <w:tr w:rsidR="00833689" w:rsidRPr="006F2BC5" w:rsidTr="00B12420">
        <w:trPr>
          <w:trHeight w:val="351"/>
        </w:trPr>
        <w:tc>
          <w:tcPr>
            <w:tcW w:w="4860" w:type="dxa"/>
            <w:tcBorders>
              <w:left w:val="nil"/>
            </w:tcBorders>
          </w:tcPr>
          <w:p w:rsidR="00833689" w:rsidRPr="00471A6F" w:rsidRDefault="00833689" w:rsidP="00B12420">
            <w:pPr>
              <w:jc w:val="center"/>
              <w:rPr>
                <w:rFonts w:ascii="Times New Roman" w:hAnsi="Times New Roman" w:cs="Times New Roman"/>
                <w:b/>
                <w:bCs/>
                <w:u w:val="single"/>
              </w:rPr>
            </w:pPr>
            <w:r w:rsidRPr="000B2FA5">
              <w:rPr>
                <w:rFonts w:ascii="Times New Roman" w:hAnsi="Times New Roman" w:cs="Times New Roman"/>
                <w:b/>
                <w:bCs/>
                <w:u w:val="single"/>
                <w:lang w:val="uk-UA"/>
              </w:rPr>
              <w:t>________________________/</w:t>
            </w:r>
            <w:r w:rsidR="00471A6F">
              <w:rPr>
                <w:rFonts w:ascii="Times New Roman" w:hAnsi="Times New Roman" w:cs="Times New Roman"/>
                <w:b/>
                <w:bCs/>
                <w:u w:val="single"/>
                <w:lang w:val="uk-UA"/>
              </w:rPr>
              <w:t xml:space="preserve">Стасюк </w:t>
            </w:r>
            <w:r>
              <w:rPr>
                <w:rFonts w:ascii="Times New Roman" w:hAnsi="Times New Roman" w:cs="Times New Roman"/>
                <w:b/>
                <w:bCs/>
                <w:u w:val="single"/>
                <w:lang w:val="uk-UA"/>
              </w:rPr>
              <w:t>М.</w:t>
            </w:r>
            <w:r w:rsidR="00471A6F">
              <w:rPr>
                <w:rFonts w:ascii="Times New Roman" w:hAnsi="Times New Roman" w:cs="Times New Roman"/>
                <w:b/>
                <w:bCs/>
                <w:u w:val="single"/>
                <w:lang w:val="uk-UA"/>
              </w:rPr>
              <w:t>В.</w:t>
            </w:r>
          </w:p>
          <w:p w:rsidR="00833689" w:rsidRPr="006F2BC5" w:rsidRDefault="00833689" w:rsidP="00B12420">
            <w:pPr>
              <w:rPr>
                <w:rFonts w:ascii="Times New Roman" w:hAnsi="Times New Roman" w:cs="Times New Roman"/>
                <w:b/>
                <w:bCs/>
                <w:spacing w:val="-14"/>
                <w:lang w:val="uk-UA"/>
              </w:rPr>
            </w:pPr>
          </w:p>
        </w:tc>
      </w:tr>
    </w:tbl>
    <w:p w:rsidR="00833689" w:rsidRPr="006F2BC5" w:rsidRDefault="00833689" w:rsidP="00617784">
      <w:pPr>
        <w:pStyle w:val="12"/>
        <w:tabs>
          <w:tab w:val="left" w:pos="360"/>
          <w:tab w:val="left" w:pos="540"/>
        </w:tabs>
        <w:spacing w:before="0" w:after="0"/>
        <w:jc w:val="both"/>
        <w:rPr>
          <w:rFonts w:ascii="Times New Roman" w:hAnsi="Times New Roman" w:cs="Times New Roman"/>
          <w:sz w:val="16"/>
          <w:szCs w:val="16"/>
        </w:rPr>
      </w:pPr>
    </w:p>
    <w:sectPr w:rsidR="00833689" w:rsidRPr="006F2BC5" w:rsidSect="007F56EA">
      <w:footerReference w:type="default" r:id="rId8"/>
      <w:pgSz w:w="11906" w:h="16838"/>
      <w:pgMar w:top="540" w:right="991" w:bottom="567" w:left="1134" w:header="709" w:footer="53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F72" w:rsidRDefault="005A6F72">
      <w:pPr>
        <w:rPr>
          <w:rFonts w:cs="Times New Roman"/>
        </w:rPr>
      </w:pPr>
      <w:r>
        <w:rPr>
          <w:rFonts w:cs="Times New Roman"/>
        </w:rPr>
        <w:separator/>
      </w:r>
    </w:p>
  </w:endnote>
  <w:endnote w:type="continuationSeparator" w:id="1">
    <w:p w:rsidR="005A6F72" w:rsidRDefault="005A6F7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07687" w:rsidRPr="00407687">
      <w:fldChar w:fldCharType="begin"/>
    </w:r>
    <w:r w:rsidR="00274E03">
      <w:instrText>PAGE   \* MERGEFORMAT</w:instrText>
    </w:r>
    <w:r w:rsidR="00407687" w:rsidRPr="00407687">
      <w:fldChar w:fldCharType="separate"/>
    </w:r>
    <w:r w:rsidR="00EB22E9" w:rsidRPr="00EB22E9">
      <w:rPr>
        <w:noProof/>
        <w:lang w:val="uk-UA" w:eastAsia="uk-UA"/>
      </w:rPr>
      <w:t>4</w:t>
    </w:r>
    <w:r w:rsidR="00407687">
      <w:rPr>
        <w:noProof/>
        <w:lang w:val="uk-UA" w:eastAsia="uk-UA"/>
      </w:rPr>
      <w:fldChar w:fldCharType="end"/>
    </w:r>
    <w:r>
      <w:rPr>
        <w:i/>
        <w:iCs/>
      </w:rPr>
      <w:tab/>
    </w:r>
    <w:r>
      <w:rPr>
        <w:i/>
        <w:iCs/>
        <w:lang w:val="uk-UA"/>
      </w:rPr>
      <w:t xml:space="preserve">Учасник </w:t>
    </w:r>
    <w:r w:rsidR="007F56EA">
      <w:rPr>
        <w:i/>
        <w:iCs/>
        <w:lang w:val="uk-UA"/>
      </w:rPr>
      <w:t>1</w:t>
    </w:r>
    <w:r>
      <w:rPr>
        <w:i/>
        <w:iCs/>
        <w:lang w:val="uk-UA"/>
      </w:rPr>
      <w:t>_________________</w:t>
    </w:r>
  </w:p>
  <w:p w:rsidR="007F56EA" w:rsidRDefault="007F56EA" w:rsidP="007F56EA">
    <w:pPr>
      <w:pStyle w:val="ad"/>
      <w:tabs>
        <w:tab w:val="clear" w:pos="4677"/>
        <w:tab w:val="clear" w:pos="9355"/>
        <w:tab w:val="center" w:pos="4819"/>
        <w:tab w:val="right" w:pos="9639"/>
      </w:tabs>
      <w:jc w:val="right"/>
      <w:rPr>
        <w:i/>
        <w:iCs/>
        <w:lang w:val="uk-UA"/>
      </w:rPr>
    </w:pPr>
    <w:r>
      <w:rPr>
        <w:i/>
        <w:iCs/>
        <w:lang w:val="uk-UA"/>
      </w:rPr>
      <w:t>Учасник 2___________________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F72" w:rsidRDefault="005A6F72">
      <w:pPr>
        <w:rPr>
          <w:rFonts w:cs="Times New Roman"/>
        </w:rPr>
      </w:pPr>
      <w:r>
        <w:rPr>
          <w:rFonts w:cs="Times New Roman"/>
        </w:rPr>
        <w:separator/>
      </w:r>
    </w:p>
  </w:footnote>
  <w:footnote w:type="continuationSeparator" w:id="1">
    <w:p w:rsidR="005A6F72" w:rsidRDefault="005A6F7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0768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1A6F"/>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A6F72"/>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56EA"/>
    <w:rsid w:val="007F61E9"/>
    <w:rsid w:val="00802B89"/>
    <w:rsid w:val="00805B10"/>
    <w:rsid w:val="008066A5"/>
    <w:rsid w:val="00807FB5"/>
    <w:rsid w:val="0081421B"/>
    <w:rsid w:val="00816006"/>
    <w:rsid w:val="00821F8B"/>
    <w:rsid w:val="00825341"/>
    <w:rsid w:val="008274B6"/>
    <w:rsid w:val="00832A32"/>
    <w:rsid w:val="00832CC3"/>
    <w:rsid w:val="00833689"/>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2E9"/>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0AD"/>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3262</Words>
  <Characters>18600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2023-11-29T01:26:00Z</dcterms:created>
  <dcterms:modified xsi:type="dcterms:W3CDTF">2023-11-29T01:45:00Z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