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A7690">
        <w:rPr>
          <w:rFonts w:ascii="Times New Roman" w:hAnsi="Times New Roman" w:cs="Times New Roman"/>
          <w:b/>
          <w:bCs/>
          <w:lang w:val="uk-UA" w:eastAsia="zh-CN"/>
        </w:rPr>
        <w:t>0308кв115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A769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921E13">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A7690">
        <w:rPr>
          <w:rFonts w:ascii="Times New Roman" w:hAnsi="Times New Roman" w:cs="Times New Roman"/>
          <w:b/>
          <w:bCs/>
          <w:lang w:val="uk-UA"/>
        </w:rPr>
        <w:t xml:space="preserve">Степаненко Тетяна Василівна  </w:t>
      </w:r>
      <w:r w:rsidR="000928BD">
        <w:rPr>
          <w:rFonts w:ascii="Times New Roman" w:hAnsi="Times New Roman" w:cs="Times New Roman"/>
          <w:b/>
          <w:bCs/>
          <w:lang w:val="uk-UA"/>
        </w:rPr>
        <w:t xml:space="preserve"> </w:t>
      </w:r>
      <w:r w:rsidR="008A7690">
        <w:rPr>
          <w:rFonts w:ascii="Times New Roman" w:hAnsi="Times New Roman" w:cs="Times New Roman"/>
          <w:b/>
          <w:bCs/>
          <w:lang w:val="uk-UA"/>
        </w:rPr>
        <w:t>29.11.1985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A769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A769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A769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A769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кв115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A769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A769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A769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A769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A7690">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A7690">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A7690">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A769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A7690">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A7690"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A7690">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A7690"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A7690">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A7690"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A7690">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A769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A7690">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A7690"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A7690">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A7690"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A7690">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A7690"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A7690">
              <w:rPr>
                <w:rFonts w:ascii="Times New Roman" w:hAnsi="Times New Roman" w:cs="Times New Roman"/>
                <w:bCs/>
                <w:lang w:val="uk-UA"/>
              </w:rPr>
              <w:t xml:space="preserve">Степаненко Тетяна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A7690">
              <w:rPr>
                <w:rFonts w:ascii="Times New Roman" w:hAnsi="Times New Roman" w:cs="Times New Roman"/>
                <w:lang w:val="uk-UA"/>
              </w:rPr>
              <w:t>СЕ 364364</w:t>
            </w:r>
          </w:p>
          <w:p w:rsidR="008D592C"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A7690">
              <w:rPr>
                <w:rFonts w:ascii="Times New Roman" w:hAnsi="Times New Roman" w:cs="Times New Roman"/>
                <w:lang w:val="uk-UA"/>
              </w:rPr>
              <w:t xml:space="preserve">Івано-Франківським МВ УМВС </w:t>
            </w:r>
          </w:p>
          <w:p w:rsidR="005949F0" w:rsidRPr="000B2FA5" w:rsidRDefault="008A769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A7690" w:rsidP="00104E65">
            <w:pPr>
              <w:snapToGrid w:val="0"/>
              <w:spacing w:before="0"/>
              <w:jc w:val="center"/>
              <w:rPr>
                <w:rFonts w:ascii="Times New Roman" w:hAnsi="Times New Roman" w:cs="Times New Roman"/>
                <w:lang w:val="uk-UA"/>
              </w:rPr>
            </w:pPr>
            <w:r>
              <w:rPr>
                <w:rFonts w:ascii="Times New Roman" w:hAnsi="Times New Roman" w:cs="Times New Roman"/>
                <w:lang w:val="uk-UA"/>
              </w:rPr>
              <w:t>20 лютого 2006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A7690">
              <w:rPr>
                <w:rFonts w:ascii="Times New Roman" w:hAnsi="Times New Roman" w:cs="Times New Roman"/>
                <w:lang w:val="uk-UA"/>
              </w:rPr>
              <w:t>Івано-Франківська область</w:t>
            </w:r>
          </w:p>
          <w:p w:rsidR="005949F0" w:rsidRDefault="008A769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8A769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33б, кв. 79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A7690">
              <w:rPr>
                <w:rFonts w:ascii="Times New Roman" w:hAnsi="Times New Roman" w:cs="Times New Roman"/>
                <w:lang w:val="uk-UA"/>
              </w:rPr>
              <w:t>3137903021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A7690">
              <w:rPr>
                <w:rFonts w:ascii="Times New Roman" w:hAnsi="Times New Roman" w:cs="Times New Roman"/>
                <w:lang w:val="uk-UA"/>
              </w:rPr>
              <w:t>0685427992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A7690">
              <w:rPr>
                <w:rFonts w:ascii="Times New Roman" w:hAnsi="Times New Roman" w:cs="Times New Roman"/>
                <w:b/>
                <w:bCs/>
                <w:u w:val="single"/>
                <w:lang w:val="uk-UA"/>
              </w:rPr>
              <w:t>Степаненко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204" w:rsidRDefault="00DA5204">
      <w:pPr>
        <w:rPr>
          <w:rFonts w:cs="Times New Roman"/>
        </w:rPr>
      </w:pPr>
      <w:r>
        <w:rPr>
          <w:rFonts w:cs="Times New Roman"/>
        </w:rPr>
        <w:separator/>
      </w:r>
    </w:p>
  </w:endnote>
  <w:endnote w:type="continuationSeparator" w:id="1">
    <w:p w:rsidR="00DA5204" w:rsidRDefault="00DA520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AD68DA" w:rsidRPr="00AD68DA">
      <w:fldChar w:fldCharType="begin"/>
    </w:r>
    <w:r w:rsidR="00274E03">
      <w:instrText>PAGE   \* MERGEFORMAT</w:instrText>
    </w:r>
    <w:r w:rsidR="00AD68DA" w:rsidRPr="00AD68DA">
      <w:fldChar w:fldCharType="separate"/>
    </w:r>
    <w:r w:rsidR="00921E13" w:rsidRPr="00921E13">
      <w:rPr>
        <w:noProof/>
        <w:lang w:val="uk-UA" w:eastAsia="uk-UA"/>
      </w:rPr>
      <w:t>4</w:t>
    </w:r>
    <w:r w:rsidR="00AD68D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204" w:rsidRDefault="00DA5204">
      <w:pPr>
        <w:rPr>
          <w:rFonts w:cs="Times New Roman"/>
        </w:rPr>
      </w:pPr>
      <w:r>
        <w:rPr>
          <w:rFonts w:cs="Times New Roman"/>
        </w:rPr>
        <w:separator/>
      </w:r>
    </w:p>
  </w:footnote>
  <w:footnote w:type="continuationSeparator" w:id="1">
    <w:p w:rsidR="00DA5204" w:rsidRDefault="00DA520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690"/>
    <w:rsid w:val="008A77B7"/>
    <w:rsid w:val="008B4492"/>
    <w:rsid w:val="008B4B89"/>
    <w:rsid w:val="008B5F36"/>
    <w:rsid w:val="008C5006"/>
    <w:rsid w:val="008C6F56"/>
    <w:rsid w:val="008C774C"/>
    <w:rsid w:val="008D592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1E13"/>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3D1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D68DA"/>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56D0B"/>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A5204"/>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3197</Words>
  <Characters>18227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2023-11-15T22:23:00Z</dcterms:created>
  <dcterms:modified xsi:type="dcterms:W3CDTF">2023-12-09T08:37:00Z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