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PROVA — PÓS-GRADUAÇÃO EM TÉCNICAS INJETÁVEIS</w:t>
      </w:r>
    </w:p>
    <w:p>
      <w:pPr>
        <w:jc w:val="center"/>
      </w:pPr>
      <w:r>
        <w:rPr>
          <w:b/>
        </w:rPr>
        <w:t>Mentoria Imparável — Pithon Napoli Experience</w:t>
      </w:r>
    </w:p>
    <w:p>
      <w:pPr>
        <w:jc w:val="center"/>
      </w:pPr>
      <w:r>
        <w:t>40 questões de múltipla escolha (A a E) · Gabarito comentado</w:t>
      </w:r>
    </w:p>
    <w:p/>
    <w:p>
      <w:pPr>
        <w:pStyle w:val="Heading1"/>
      </w:pPr>
      <w:r>
        <w:t>BLOCO I — ANATOMIA E FISIOLOGIA DO ENVELHECIMENTO</w:t>
      </w:r>
    </w:p>
    <w:p>
      <w:r>
        <w:rPr>
          <w:b/>
        </w:rPr>
        <w:t xml:space="preserve">1) </w:t>
      </w:r>
      <w:r>
        <w:t>Uma paciente de 55 anos queixa-se de aprofundamento progressivo do sulco nasolabial e sensação de "queda" da face média. Ao exame, observa-se projeção malar reduzida, alargamento da abertura piriforme e retrusão do terço médio, com pele de boa qualidade e sem excesso cutâneo importante.</w:t>
      </w:r>
    </w:p>
    <w:p>
      <w:r>
        <w:t>Considerando a fisiologia do envelhecimento facial, assinale a alternativa mais adequada:</w:t>
      </w:r>
    </w:p>
    <w:p>
      <w:pPr>
        <w:pStyle w:val="ListParagraph"/>
      </w:pPr>
      <w:r>
        <w:t>A) O sulco nasolabial deve ser preenchido diretamente com grande volume de produto de alto G', pois a causa primária é a perda de volume no próprio sulco.</w:t>
      </w:r>
    </w:p>
    <w:p>
      <w:pPr>
        <w:pStyle w:val="ListParagraph"/>
      </w:pPr>
      <w:r>
        <w:t>B) O envelhecimento facial é predominantemente cutâneo, de modo que apenas bioestimuladores e tecnologias resolveriam o quadro.</w:t>
      </w:r>
    </w:p>
    <w:p>
      <w:pPr>
        <w:pStyle w:val="ListParagraph"/>
      </w:pPr>
      <w:r>
        <w:t>C) O tratamento deve iniciar obrigatoriamente pelo terço inferior, pois o envelhecimento progride sempre no sentido caudocranial.</w:t>
      </w:r>
    </w:p>
    <w:p>
      <w:pPr>
        <w:pStyle w:val="ListParagraph"/>
      </w:pPr>
      <w:r>
        <w:t>D) A reabsorção óssea não é relevante após os 50 anos, pois o pico de perda mineral ocorre apenas na sétima década.</w:t>
      </w:r>
    </w:p>
    <w:p>
      <w:pPr>
        <w:pStyle w:val="ListParagraph"/>
      </w:pPr>
      <w:r>
        <w:t>E) A reabsorção óssea maxilar e o alargamento da abertura piriforme reduzem o suporte estrutural do terço médio; o planejamento deve priorizar a reposição de suporte profundo antes de abordar o sulco diretamente.</w:t>
      </w:r>
    </w:p>
    <w:p>
      <w:r>
        <w:rPr>
          <w:b/>
          <w:color w:val="1F6F3C"/>
        </w:rPr>
        <w:t>Gabarito: E</w:t>
      </w:r>
    </w:p>
    <w:p>
      <w:r>
        <w:rPr>
          <w:b/>
          <w:i/>
        </w:rPr>
        <w:t xml:space="preserve">Explicação: </w:t>
      </w:r>
      <w:r>
        <w:rPr>
          <w:i/>
        </w:rPr>
        <w:t>O envelhecimento facial é multifatorial e ocorre em todas as camadas — óssea, ligamentar, muscular, gordurosa e cutânea. A reabsorção da maxila, o aumento do ângulo da abertura piriforme e a retrusão do terço médio reduzem o suporte estrutural, e o sulco nasolabial é consequência dessa perda. Tratar o sulco isoladamente com grandes volumes gera resultado artificial e peso na face média; o raciocínio correto é repor suporte profundo (área malar, piriforme) e só então refinar o sulco.</w:t>
      </w:r>
    </w:p>
    <w:p>
      <w:r>
        <w:rPr>
          <w:b/>
        </w:rPr>
        <w:t xml:space="preserve">2) </w:t>
      </w:r>
      <w:r>
        <w:t>Sobre os compartimentos de gordura facial e sua importância no planejamento do preenchimento full face, assinale a alternativa correta:</w:t>
      </w:r>
    </w:p>
    <w:p>
      <w:pPr>
        <w:pStyle w:val="ListParagraph"/>
      </w:pPr>
      <w:r>
        <w:t>A) A gordura facial é uma camada única e homogênea, o que permite aplicação de produto em qualquer plano com resultado equivalente.</w:t>
      </w:r>
    </w:p>
    <w:p>
      <w:pPr>
        <w:pStyle w:val="ListParagraph"/>
      </w:pPr>
      <w:r>
        <w:t>B) Os septos entre compartimentos não têm relevância clínica, já que o produto se difunde livremente entre eles.</w:t>
      </w:r>
    </w:p>
    <w:p>
      <w:pPr>
        <w:pStyle w:val="ListParagraph"/>
      </w:pPr>
      <w:r>
        <w:t>C) Os compartimentos profundos devem ser evitados por serem avasculares e não responderem ao preenchimento.</w:t>
      </w:r>
    </w:p>
    <w:p>
      <w:pPr>
        <w:pStyle w:val="ListParagraph"/>
      </w:pPr>
      <w:r>
        <w:t>D) A reposição volumétrica deve ser sempre superficial, pois o compartimento profundo não influencia a projeção facial.</w:t>
      </w:r>
    </w:p>
    <w:p>
      <w:pPr>
        <w:pStyle w:val="ListParagraph"/>
      </w:pPr>
      <w:r>
        <w:t>E) A gordura facial organiza-se em compartimentos superficiais e profundos separados por septos; o envelhecimento cursa com atrofia dos compartimentos profundos e ptose/pseudo-hipertrofia dos superficiais, orientando reposição preferencialmente profunda.</w:t>
      </w:r>
    </w:p>
    <w:p>
      <w:r>
        <w:rPr>
          <w:b/>
          <w:color w:val="1F6F3C"/>
        </w:rPr>
        <w:t>Gabarito: E</w:t>
      </w:r>
    </w:p>
    <w:p>
      <w:r>
        <w:rPr>
          <w:b/>
          <w:i/>
        </w:rPr>
        <w:t xml:space="preserve">Explicação: </w:t>
      </w:r>
      <w:r>
        <w:rPr>
          <w:i/>
        </w:rPr>
        <w:t>A gordura facial é compartimentalizada, com compartimentos superficiais e profundos delimitados por septos e ligamentos de retenção. Com o envelhecimento há atrofia seletiva dos compartimentos profundos (como o deep medial cheek fat e o compartimento suborbicular) e descida dos superficiais, o que gera perda de projeção e acúmulo em regiões inferiores. Por isso a reposição estrutural é preferencialmente profunda, com refinamento superficial pontual.</w:t>
      </w:r>
    </w:p>
    <w:p>
      <w:r>
        <w:rPr>
          <w:b/>
        </w:rPr>
        <w:t xml:space="preserve">3) </w:t>
      </w:r>
      <w:r>
        <w:t>Durante o planejamento de um procedimento na região temporal, o conhecimento dos planos anatômicos é determinante para a segurança. Assinale a alternativa correta:</w:t>
      </w:r>
    </w:p>
    <w:p>
      <w:pPr>
        <w:pStyle w:val="ListParagraph"/>
      </w:pPr>
      <w:r>
        <w:t>A) A região temporal é considerada área de baixo risco, pois não apresenta estruturas vasculares relevantes.</w:t>
      </w:r>
    </w:p>
    <w:p>
      <w:pPr>
        <w:pStyle w:val="ListParagraph"/>
      </w:pPr>
      <w:r>
        <w:t>B) A artéria temporal superficial corre profundamente ao músculo temporal, tornando o plano subcutâneo o de maior risco vascular.</w:t>
      </w:r>
    </w:p>
    <w:p>
      <w:pPr>
        <w:pStyle w:val="ListParagraph"/>
      </w:pPr>
      <w:r>
        <w:t>C) A aplicação deve ser sempre realizada no plano intramuscular, por ser o único plano com ausência de vasos.</w:t>
      </w:r>
    </w:p>
    <w:p>
      <w:pPr>
        <w:pStyle w:val="ListParagraph"/>
      </w:pPr>
      <w:r>
        <w:t>D) A região temporal apresenta múltiplos planos (subcutâneo, fáscia temporal superficial com a artéria temporal superficial, fáscia temporal profunda e plano supraperiosteal); o plano supraperiosteal profundo e o subdérmico superficial são os habitualmente utilizados, com aspiração e técnica cuidadosa.</w:t>
      </w:r>
    </w:p>
    <w:p>
      <w:pPr>
        <w:pStyle w:val="ListParagraph"/>
      </w:pPr>
      <w:r>
        <w:t>E) O plano supraperiosteal deve ser evitado por estar em contato direto com a artéria temporal superficial.</w:t>
      </w:r>
    </w:p>
    <w:p>
      <w:r>
        <w:rPr>
          <w:b/>
          <w:color w:val="1F6F3C"/>
        </w:rPr>
        <w:t>Gabarito: D</w:t>
      </w:r>
    </w:p>
    <w:p>
      <w:r>
        <w:rPr>
          <w:b/>
          <w:i/>
        </w:rPr>
        <w:t xml:space="preserve">Explicação: </w:t>
      </w:r>
      <w:r>
        <w:rPr>
          <w:i/>
        </w:rPr>
        <w:t>A região temporal é anatomicamente estratificada: pele, subcutâneo, fáscia temporal superficial (onde trafega a artéria temporal superficial), fáscia temporal profunda, músculo temporal e plano supraperiosteal. Os planos mais utilizados com segurança são o supraperiosteal profundo (com agulha perpendicular até o osso) e o subdérmico superficial com cânula. O plano intermediário, onde corre a artéria temporal superficial e há comunicações com o sistema oftálmico, é o de maior risco.</w:t>
      </w:r>
    </w:p>
    <w:p>
      <w:r>
        <w:rPr>
          <w:b/>
        </w:rPr>
        <w:t xml:space="preserve">4) </w:t>
      </w:r>
      <w:r>
        <w:t>Uma paciente de 40 anos apresenta olheira profunda com sulco lacrimal marcado. Sobre a anatomia da região infraorbitária aplicada ao preenchimento, assinale a alternativa correta:</w:t>
      </w:r>
    </w:p>
    <w:p>
      <w:pPr>
        <w:pStyle w:val="ListParagraph"/>
      </w:pPr>
      <w:r>
        <w:t>A) O ligamento orbicular retentor não influencia a formação do sulco lacrimal, sendo a olheira exclusivamente pigmentar.</w:t>
      </w:r>
    </w:p>
    <w:p>
      <w:pPr>
        <w:pStyle w:val="ListParagraph"/>
      </w:pPr>
      <w:r>
        <w:t>B) A artéria angular e o forame infraorbitário não representam risco nessa região, dispensando cuidados técnicos.</w:t>
      </w:r>
    </w:p>
    <w:p>
      <w:pPr>
        <w:pStyle w:val="ListParagraph"/>
      </w:pPr>
      <w:r>
        <w:t>C) A região deve ser preenchida superficialmente com produto de alto G' para maior sustentação e durabilidade.</w:t>
      </w:r>
    </w:p>
    <w:p>
      <w:pPr>
        <w:pStyle w:val="ListParagraph"/>
      </w:pPr>
      <w:r>
        <w:t>D) O sulco lacrimal decorre da aderência do ligamento orbicular retentor associada à atrofia do compartimento suborbicular; o preenchimento deve ser profundo, supraperiosteal, com pequenos volumes e produto de baixo swelling factor.</w:t>
      </w:r>
    </w:p>
    <w:p>
      <w:pPr>
        <w:pStyle w:val="ListParagraph"/>
      </w:pPr>
      <w:r>
        <w:t>E) A presença de bolsas de gordura herniadas é indicação preferencial para grandes volumes de preenchedor na região.</w:t>
      </w:r>
    </w:p>
    <w:p>
      <w:r>
        <w:rPr>
          <w:b/>
          <w:color w:val="1F6F3C"/>
        </w:rPr>
        <w:t>Gabarito: D</w:t>
      </w:r>
    </w:p>
    <w:p>
      <w:r>
        <w:rPr>
          <w:b/>
          <w:i/>
        </w:rPr>
        <w:t xml:space="preserve">Explicação: </w:t>
      </w:r>
      <w:r>
        <w:rPr>
          <w:i/>
        </w:rPr>
        <w:t>O sulco lacrimal resulta da aderência do ligamento orbicular retentor somada à atrofia do compartimento gorduroso suborbicular e à perda de suporte ósseo. O preenchimento deve ser profundo (supraperiosteal), com volumes pequenos e produto de baixo G' e baixo swelling factor, para evitar edema persistente, efeito Tyndall e irregularidades. Bolsas herniadas volumosas são, em geral, indicação cirúrgica e não de preenchimento.</w:t>
      </w:r>
    </w:p>
    <w:p>
      <w:r>
        <w:rPr>
          <w:b/>
        </w:rPr>
        <w:t xml:space="preserve">5) </w:t>
      </w:r>
      <w:r>
        <w:t>Sobre a anatomia vascular do nariz e sua implicação na rinomodelação, assinale a alternativa correta:</w:t>
      </w:r>
    </w:p>
    <w:p>
      <w:pPr>
        <w:pStyle w:val="ListParagraph"/>
      </w:pPr>
      <w:r>
        <w:t>A) A vascularização nasal é terminal e independente do sistema carotídeo interno, o que elimina o risco de amaurose.</w:t>
      </w:r>
    </w:p>
    <w:p>
      <w:pPr>
        <w:pStyle w:val="ListParagraph"/>
      </w:pPr>
      <w:r>
        <w:t>B) A aplicação em ponta e asa nasal é a mais segura, por serem regiões de vascularização abundante e colateral.</w:t>
      </w:r>
    </w:p>
    <w:p>
      <w:pPr>
        <w:pStyle w:val="ListParagraph"/>
      </w:pPr>
      <w:r>
        <w:t>C) O maior risco vascular está na base da columela, região sem anastomoses com o sistema oftálmico.</w:t>
      </w:r>
    </w:p>
    <w:p>
      <w:pPr>
        <w:pStyle w:val="ListParagraph"/>
      </w:pPr>
      <w:r>
        <w:t>D) A artéria dorsal do nariz e os ramos da artéria angular apresentam anastomoses com o sistema oftálmico, tornando a rinomodelação um dos procedimentos de maior risco de complicação isquêmica grave, incluindo amaurose.</w:t>
      </w:r>
    </w:p>
    <w:p>
      <w:pPr>
        <w:pStyle w:val="ListParagraph"/>
      </w:pPr>
      <w:r>
        <w:t>E) O uso de cânula elimina completamente o risco vascular na rinomodelação.</w:t>
      </w:r>
    </w:p>
    <w:p>
      <w:r>
        <w:rPr>
          <w:b/>
          <w:color w:val="1F6F3C"/>
        </w:rPr>
        <w:t>Gabarito: D</w:t>
      </w:r>
    </w:p>
    <w:p>
      <w:r>
        <w:rPr>
          <w:b/>
          <w:i/>
        </w:rPr>
        <w:t xml:space="preserve">Explicação: </w:t>
      </w:r>
      <w:r>
        <w:rPr>
          <w:i/>
        </w:rPr>
        <w:t>O dorso nasal é irrigado pela artéria dorsal do nariz (ramo da oftálmica, do sistema carotídeo interno) e por ramos da artéria angular, com rica rede anastomótica com o sistema oftálmico. Isso torna a rinomodelação um procedimento de alto risco para embolização retrógrada e amaurose. A técnica segura envolve plano supraperiosteal/supracondral na linha média, pequenos volumes, injeção lenta, baixa pressão e aspiração — e a ponta e as asas nasais são áreas de risco elevado, não reduzido.</w:t>
      </w:r>
    </w:p>
    <w:p>
      <w:pPr>
        <w:pStyle w:val="Heading1"/>
      </w:pPr>
      <w:r>
        <w:t>BLOCO II — TOXINA BOTULÍNICA: BASES BIOQUÍMICAS E FARMACOLÓGICAS</w:t>
      </w:r>
    </w:p>
    <w:p>
      <w:r>
        <w:rPr>
          <w:b/>
        </w:rPr>
        <w:t xml:space="preserve">6) </w:t>
      </w:r>
      <w:r>
        <w:t>Sobre o mecanismo de ação da toxina botulínica tipo A, assinale a alternativa correta:</w:t>
      </w:r>
    </w:p>
    <w:p>
      <w:pPr>
        <w:pStyle w:val="ListParagraph"/>
      </w:pPr>
      <w:r>
        <w:t>A) A toxina bloqueia diretamente os receptores nicotínicos pós-sinápticos, impedindo a ligação da acetilcolina.</w:t>
      </w:r>
    </w:p>
    <w:p>
      <w:pPr>
        <w:pStyle w:val="ListParagraph"/>
      </w:pPr>
      <w:r>
        <w:t>B) A toxina promove destruição irreversível da placa motora, o que explica a permanência do efeito.</w:t>
      </w:r>
    </w:p>
    <w:p>
      <w:pPr>
        <w:pStyle w:val="ListParagraph"/>
      </w:pPr>
      <w:r>
        <w:t>C) A toxina age bloqueando os canais de cálcio voltagem-dependentes, sem interferir no complexo SNARE.</w:t>
      </w:r>
    </w:p>
    <w:p>
      <w:pPr>
        <w:pStyle w:val="ListParagraph"/>
      </w:pPr>
      <w:r>
        <w:t>D) A toxina inibe a síntese de acetilcolina no corpo neuronal, reduzindo sua disponibilidade.</w:t>
      </w:r>
    </w:p>
    <w:p>
      <w:pPr>
        <w:pStyle w:val="ListParagraph"/>
      </w:pPr>
      <w:r>
        <w:t>E) A toxina atua na clivagem da proteína SNAP-25, componente do complexo SNARE, impedindo a fusão das vesículas e a liberação de acetilcolina na fenda sináptica.</w:t>
      </w:r>
    </w:p>
    <w:p>
      <w:r>
        <w:rPr>
          <w:b/>
          <w:color w:val="1F6F3C"/>
        </w:rPr>
        <w:t>Gabarito: E</w:t>
      </w:r>
    </w:p>
    <w:p>
      <w:r>
        <w:rPr>
          <w:b/>
          <w:i/>
        </w:rPr>
        <w:t xml:space="preserve">Explicação: </w:t>
      </w:r>
      <w:r>
        <w:rPr>
          <w:i/>
        </w:rPr>
        <w:t>A toxina botulínica tipo A liga-se seletivamente ao terminal nervoso colinérgico, é internalizada e sua cadeia leve cliva a SNAP-25, proteína do complexo SNARE responsável pela ancoragem e fusão das vesículas de acetilcolina à membrana pré-sináptica. Sem a liberação do neurotransmissor, não há contração muscular. O efeito é temporário: ocorre brotamento axonal e regeneração da placa motora, o que restabelece a função.</w:t>
      </w:r>
    </w:p>
    <w:p>
      <w:r>
        <w:rPr>
          <w:b/>
        </w:rPr>
        <w:t xml:space="preserve">7) </w:t>
      </w:r>
      <w:r>
        <w:t>Sobre a estrutura molecular e as propriedades bioquímicas da toxina botulínica, assinale a alternativa correta:</w:t>
      </w:r>
    </w:p>
    <w:p>
      <w:pPr>
        <w:pStyle w:val="ListParagraph"/>
      </w:pPr>
      <w:r>
        <w:t>A) A molécula ativa é formada por uma cadeia pesada, responsável pela ligação ao terminal nervoso e internalização, e uma cadeia leve, com atividade enzimática sobre as proteínas SNARE, podendo estar associada a proteínas acessórias complexantes.</w:t>
      </w:r>
    </w:p>
    <w:p>
      <w:pPr>
        <w:pStyle w:val="ListParagraph"/>
      </w:pPr>
      <w:r>
        <w:t>B) A toxina é composta por uma cadeia única, sem subunidades funcionais distintas.</w:t>
      </w:r>
    </w:p>
    <w:p>
      <w:pPr>
        <w:pStyle w:val="ListParagraph"/>
      </w:pPr>
      <w:r>
        <w:t>C) As proteínas complexantes são responsáveis pela atividade enzimática da toxina.</w:t>
      </w:r>
    </w:p>
    <w:p>
      <w:pPr>
        <w:pStyle w:val="ListParagraph"/>
      </w:pPr>
      <w:r>
        <w:t>D) A cadeia leve é responsável pela ligação ao receptor pré-sináptico e a cadeia pesada pela clivagem da SNAP-25.</w:t>
      </w:r>
    </w:p>
    <w:p>
      <w:pPr>
        <w:pStyle w:val="ListParagraph"/>
      </w:pPr>
      <w:r>
        <w:t>E) O peso molecular do complexo é irrelevante do ponto de vista clínico e imunológico.</w:t>
      </w:r>
    </w:p>
    <w:p>
      <w:r>
        <w:rPr>
          <w:b/>
          <w:color w:val="1F6F3C"/>
        </w:rPr>
        <w:t>Gabarito: A</w:t>
      </w:r>
    </w:p>
    <w:p>
      <w:r>
        <w:rPr>
          <w:b/>
          <w:i/>
        </w:rPr>
        <w:t xml:space="preserve">Explicação: </w:t>
      </w:r>
      <w:r>
        <w:rPr>
          <w:i/>
        </w:rPr>
        <w:t>A neurotoxina é uma proteína di-cadeia: a cadeia pesada (~100 kDa) faz o reconhecimento do receptor no terminal colinérgico e a translocação, e a cadeia leve (~50 kDa) é uma metaloprotease zinco-dependente que cliva a SNAP-25. As proteínas complexantes (hemaglutininas e não-hemaglutininas) protegem a molécula, mas não têm atividade enzimática; a carga proteica total é um dos fatores discutidos na imunogenicidade e formação de anticorpos neutralizantes.</w:t>
      </w:r>
    </w:p>
    <w:p>
      <w:r>
        <w:rPr>
          <w:b/>
        </w:rPr>
        <w:t xml:space="preserve">8) </w:t>
      </w:r>
      <w:r>
        <w:t>Sobre a reconstituição e o manuseio da toxina botulínica, assinale a alternativa correta:</w:t>
      </w:r>
    </w:p>
    <w:p>
      <w:pPr>
        <w:pStyle w:val="ListParagraph"/>
      </w:pPr>
      <w:r>
        <w:t>A) A reconstituição deve ser feita com água destilada, pois o soro fisiológico inativa a molécula.</w:t>
      </w:r>
    </w:p>
    <w:p>
      <w:pPr>
        <w:pStyle w:val="ListParagraph"/>
      </w:pPr>
      <w:r>
        <w:t>B) A agitação vigorosa do frasco é recomendada para garantir a homogeneização completa do produto.</w:t>
      </w:r>
    </w:p>
    <w:p>
      <w:pPr>
        <w:pStyle w:val="ListParagraph"/>
      </w:pPr>
      <w:r>
        <w:t>C) A diluição não interfere na área de difusão do produto, sendo indiferente o volume utilizado.</w:t>
      </w:r>
    </w:p>
    <w:p>
      <w:pPr>
        <w:pStyle w:val="ListParagraph"/>
      </w:pPr>
      <w:r>
        <w:t>D) A reconstituição é realizada com soro fisiológico 0,9%, injetado lentamente pela parede do frasco, com homogeneização suave; maiores diluições aumentam a área de difusão e podem ser úteis em técnicas superficiais, enquanto menores diluições favorecem maior precisão pontual.</w:t>
      </w:r>
    </w:p>
    <w:p>
      <w:pPr>
        <w:pStyle w:val="ListParagraph"/>
      </w:pPr>
      <w:r>
        <w:t>E) Após reconstituída, a toxina perde totalmente a atividade em duas horas, devendo ser descartada nesse intervalo.</w:t>
      </w:r>
    </w:p>
    <w:p>
      <w:r>
        <w:rPr>
          <w:b/>
          <w:color w:val="1F6F3C"/>
        </w:rPr>
        <w:t>Gabarito: D</w:t>
      </w:r>
    </w:p>
    <w:p>
      <w:r>
        <w:rPr>
          <w:b/>
          <w:i/>
        </w:rPr>
        <w:t xml:space="preserve">Explicação: </w:t>
      </w:r>
      <w:r>
        <w:rPr>
          <w:i/>
        </w:rPr>
        <w:t>A reconstituição é feita com solução fisiológica 0,9%, deixando o vácuo do frasco aspirar o diluente ou injetando-o lentamente pela parede, evitando espuma. A agitação vigorosa pode desnaturar a proteína. O volume de diluição é uma ferramenta clínica: diluições maiores ampliam a difusão (úteis em mesobotox, espasmos e hiperidrose), enquanto diluições menores concentram o efeito e aumentam a precisão em músculos específicos.</w:t>
      </w:r>
    </w:p>
    <w:p>
      <w:r>
        <w:rPr>
          <w:b/>
        </w:rPr>
        <w:t xml:space="preserve">9) </w:t>
      </w:r>
      <w:r>
        <w:t>Sobre a fisiologia da contração muscular e sua relação com a ação da toxina, assinale a alternativa correta:</w:t>
      </w:r>
    </w:p>
    <w:p>
      <w:pPr>
        <w:pStyle w:val="ListParagraph"/>
      </w:pPr>
      <w:r>
        <w:t>A) O influxo de cálcio no terminal pré-sináptico é dispensável para a liberação de acetilcolina.</w:t>
      </w:r>
    </w:p>
    <w:p>
      <w:pPr>
        <w:pStyle w:val="ListParagraph"/>
      </w:pPr>
      <w:r>
        <w:t>B) A contração muscular independe da interação actina-miosina quando há bloqueio colinérgico.</w:t>
      </w:r>
    </w:p>
    <w:p>
      <w:pPr>
        <w:pStyle w:val="ListParagraph"/>
      </w:pPr>
      <w:r>
        <w:t>C) A acetilcolina atua diretamente sobre o retículo sarcoplasmático, sem intermediação de receptores de membrana.</w:t>
      </w:r>
    </w:p>
    <w:p>
      <w:pPr>
        <w:pStyle w:val="ListParagraph"/>
      </w:pPr>
      <w:r>
        <w:t>D) A toxina impede a despolarização da fibra muscular, sem qualquer relação com a liberação vesicular.</w:t>
      </w:r>
    </w:p>
    <w:p>
      <w:pPr>
        <w:pStyle w:val="ListParagraph"/>
      </w:pPr>
      <w:r>
        <w:t>E) O potencial de ação despolariza o terminal, abre canais de cálcio voltagem-dependentes e o influxo de cálcio desencadeia a fusão das vesículas mediada pelo complexo SNARE, com liberação de acetilcolina — etapa exatamente onde a toxina interfere.</w:t>
      </w:r>
    </w:p>
    <w:p>
      <w:r>
        <w:rPr>
          <w:b/>
          <w:color w:val="1F6F3C"/>
        </w:rPr>
        <w:t>Gabarito: E</w:t>
      </w:r>
    </w:p>
    <w:p>
      <w:r>
        <w:rPr>
          <w:b/>
          <w:i/>
        </w:rPr>
        <w:t xml:space="preserve">Explicação: </w:t>
      </w:r>
      <w:r>
        <w:rPr>
          <w:i/>
        </w:rPr>
        <w:t>A sequência fisiológica é: potencial de ação → despolarização do terminal → abertura de canais de cálcio voltagem-dependentes → influxo de cálcio → fusão vesicular mediada pelo complexo SNARE (SNAP-25, sintaxina e VAMP) → liberação de acetilcolina → ligação aos receptores nicotínicos → despolarização da fibra → liberação de cálcio do retículo sarcoplasmático → interação actina-miosina. A toxina atua precisamente na etapa de fusão vesicular, ao clivar a SNAP-25.</w:t>
      </w:r>
    </w:p>
    <w:p>
      <w:r>
        <w:rPr>
          <w:b/>
        </w:rPr>
        <w:t xml:space="preserve">10) </w:t>
      </w:r>
      <w:r>
        <w:t>Sobre indicações e contraindicações do uso de toxina botulínica, assinale a alternativa correta:</w:t>
      </w:r>
    </w:p>
    <w:p>
      <w:pPr>
        <w:pStyle w:val="ListParagraph"/>
      </w:pPr>
      <w:r>
        <w:t>A) A miastenia gravis e a síndrome de Eaton-Lambert são contraindicações, assim como infecção ativa no local de aplicação; o uso de aminoglicosídeos pode potencializar o efeito da toxina e deve ser considerado na anamnese.</w:t>
      </w:r>
    </w:p>
    <w:p>
      <w:pPr>
        <w:pStyle w:val="ListParagraph"/>
      </w:pPr>
      <w:r>
        <w:t>B) A gestação é uma indicação segura, desde que utilizadas doses reduzidas.</w:t>
      </w:r>
    </w:p>
    <w:p>
      <w:pPr>
        <w:pStyle w:val="ListParagraph"/>
      </w:pPr>
      <w:r>
        <w:t>C) Doenças neuromusculares não representam contraindicação, pois a toxina age apenas localmente e sem repercussão sistêmica.</w:t>
      </w:r>
    </w:p>
    <w:p>
      <w:pPr>
        <w:pStyle w:val="ListParagraph"/>
      </w:pPr>
      <w:r>
        <w:t>D) O uso concomitante de aminoglicosídeos reduz o efeito da toxina, exigindo aumento das doses.</w:t>
      </w:r>
    </w:p>
    <w:p>
      <w:pPr>
        <w:pStyle w:val="ListParagraph"/>
      </w:pPr>
      <w:r>
        <w:t>E) A presença de infecção ativa no sítio de aplicação não contraindica o procedimento, desde que se utilize antissepsia rigorosa.</w:t>
      </w:r>
    </w:p>
    <w:p>
      <w:r>
        <w:rPr>
          <w:b/>
          <w:color w:val="1F6F3C"/>
        </w:rPr>
        <w:t>Gabarito: A</w:t>
      </w:r>
    </w:p>
    <w:p>
      <w:r>
        <w:rPr>
          <w:b/>
          <w:i/>
        </w:rPr>
        <w:t xml:space="preserve">Explicação: </w:t>
      </w:r>
      <w:r>
        <w:rPr>
          <w:i/>
        </w:rPr>
        <w:t>São contraindicações ao uso da toxina: doenças da junção neuromuscular (miastenia gravis, síndrome de Eaton-Lambert, esclerose lateral amiotrófica), hipersensibilidade a componentes da fórmula, infecção ativa no local de aplicação, gestação e lactação (por ausência de estudos de segurança). Aminoglicosídeos e outros agentes que interferem na transmissão neuromuscular podem potencializar o efeito da toxina, o que deve ser identificado na anamnese.</w:t>
      </w:r>
    </w:p>
    <w:p>
      <w:pPr>
        <w:pStyle w:val="Heading1"/>
      </w:pPr>
      <w:r>
        <w:t>BLOCO III — REOLOGIA DO ÁCIDO HIALURÔNICO</w:t>
      </w:r>
    </w:p>
    <w:p>
      <w:r>
        <w:rPr>
          <w:b/>
        </w:rPr>
        <w:t xml:space="preserve">11) </w:t>
      </w:r>
      <w:r>
        <w:t>Um paciente masculino de 45 anos deseja definição de mandíbula e projeção de mento. Considerando as propriedades reológicas dos preenchedores, assinale a alternativa mais adequada:</w:t>
      </w:r>
    </w:p>
    <w:p>
      <w:pPr>
        <w:pStyle w:val="ListParagraph"/>
      </w:pPr>
      <w:r>
        <w:t>A) Deve-se optar por produto de baixo G' e alto tan delta, por se adaptarem melhor às áreas de grande movimentação.</w:t>
      </w:r>
    </w:p>
    <w:p>
      <w:pPr>
        <w:pStyle w:val="ListParagraph"/>
      </w:pPr>
      <w:r>
        <w:t>B) Produtos de baixo swelling factor são contraindicados em mandíbula, por não gerarem projeção.</w:t>
      </w:r>
    </w:p>
    <w:p>
      <w:pPr>
        <w:pStyle w:val="ListParagraph"/>
      </w:pPr>
      <w:r>
        <w:t>C) A escolha do produto é indiferente, desde que o volume total seja adequado.</w:t>
      </w:r>
    </w:p>
    <w:p>
      <w:pPr>
        <w:pStyle w:val="ListParagraph"/>
      </w:pPr>
      <w:r>
        <w:t>D) A escolha deve recair sobre produto de alto G' (módulo elástico), aplicado em plano profundo supraperiosteal, por oferecer maior resistência à deformação e sustentação estrutural.</w:t>
      </w:r>
    </w:p>
    <w:p>
      <w:pPr>
        <w:pStyle w:val="ListParagraph"/>
      </w:pPr>
      <w:r>
        <w:t>E) Deve-se utilizar produto de altíssima coesividade e baixo G' aplicado no plano subdérmico, para melhor definição de contorno.</w:t>
      </w:r>
    </w:p>
    <w:p>
      <w:r>
        <w:rPr>
          <w:b/>
          <w:color w:val="1F6F3C"/>
        </w:rPr>
        <w:t>Gabarito: D</w:t>
      </w:r>
    </w:p>
    <w:p>
      <w:r>
        <w:rPr>
          <w:b/>
          <w:i/>
        </w:rPr>
        <w:t xml:space="preserve">Explicação: </w:t>
      </w:r>
      <w:r>
        <w:rPr>
          <w:i/>
        </w:rPr>
        <w:t>O G' (módulo elástico) expressa a capacidade do gel de resistir à deformação e retornar à forma original. Regiões que exigem sustentação estrutural e projeção sobre plano ósseo — mandíbula, mento, arco zigomático — pedem produtos de alto G', aplicados em plano profundo supraperiosteal. Produtos de baixo G' e alto tan delta são mais fluidos e indicados para áreas de grande mobilidade ou planos superficiais, como lábios e correções finas.</w:t>
      </w:r>
    </w:p>
    <w:p>
      <w:r>
        <w:rPr>
          <w:b/>
        </w:rPr>
        <w:t xml:space="preserve">12) </w:t>
      </w:r>
      <w:r>
        <w:t>Sobre a relação entre G' e coesividade dos preenchedores, assinale a alternativa correta:</w:t>
      </w:r>
    </w:p>
    <w:p>
      <w:pPr>
        <w:pStyle w:val="ListParagraph"/>
      </w:pPr>
      <w:r>
        <w:t>A) O G' expressa resistência à deformação e a coesividade expressa a força de união interna do gel (capacidade de não se fragmentar); produtos podem combinar alto G' com alta coesividade, o que favorece projeção com integridade do bloco de produto.</w:t>
      </w:r>
    </w:p>
    <w:p>
      <w:pPr>
        <w:pStyle w:val="ListParagraph"/>
      </w:pPr>
      <w:r>
        <w:t>B) A coesividade indica a resistência à deformação, enquanto o G' expressa a capacidade do gel de se manter íntegro.</w:t>
      </w:r>
    </w:p>
    <w:p>
      <w:pPr>
        <w:pStyle w:val="ListParagraph"/>
      </w:pPr>
      <w:r>
        <w:t>C) G' e coesividade são sinônimos e sempre variam na mesma direção.</w:t>
      </w:r>
    </w:p>
    <w:p>
      <w:pPr>
        <w:pStyle w:val="ListParagraph"/>
      </w:pPr>
      <w:r>
        <w:t>D) Produtos de alta coesividade devem ser evitados em qualquer região da face, por gerarem nódulos.</w:t>
      </w:r>
    </w:p>
    <w:p>
      <w:pPr>
        <w:pStyle w:val="ListParagraph"/>
      </w:pPr>
      <w:r>
        <w:t>E) A coesividade não tem qualquer aplicação prática na escolha do preenchedor.</w:t>
      </w:r>
    </w:p>
    <w:p>
      <w:r>
        <w:rPr>
          <w:b/>
          <w:color w:val="1F6F3C"/>
        </w:rPr>
        <w:t>Gabarito: A</w:t>
      </w:r>
    </w:p>
    <w:p>
      <w:r>
        <w:rPr>
          <w:b/>
          <w:i/>
        </w:rPr>
        <w:t xml:space="preserve">Explicação: </w:t>
      </w:r>
      <w:r>
        <w:rPr>
          <w:i/>
        </w:rPr>
        <w:t>São propriedades distintas e complementares. O G' mede a elasticidade — quanto o gel resiste a ser deformado por forças externas. A coesividade mede a força de coesão interna, ou seja, o quanto o gel permanece como bloco único sem se dispersar. Produtos com alto G' associado a boa coesividade sustentam projeção estruturada sem se fragmentar, sendo ideais para áreas de suporte ósseo.</w:t>
      </w:r>
    </w:p>
    <w:p>
      <w:r>
        <w:rPr>
          <w:b/>
        </w:rPr>
        <w:t xml:space="preserve">13) </w:t>
      </w:r>
      <w:r>
        <w:t>Sobre o swelling factor (capacidade de hidratação/inchaço) dos preenchedores, assinale a alternativa correta:</w:t>
      </w:r>
    </w:p>
    <w:p>
      <w:pPr>
        <w:pStyle w:val="ListParagraph"/>
      </w:pPr>
      <w:r>
        <w:t>A) Produtos de alto swelling factor são os mais indicados para região infraorbitária, por conferirem hidratação local.</w:t>
      </w:r>
    </w:p>
    <w:p>
      <w:pPr>
        <w:pStyle w:val="ListParagraph"/>
      </w:pPr>
      <w:r>
        <w:t>B) Produtos de baixo swelling factor são contraindicados na face, sendo restritos a uso corporal.</w:t>
      </w:r>
    </w:p>
    <w:p>
      <w:pPr>
        <w:pStyle w:val="ListParagraph"/>
      </w:pPr>
      <w:r>
        <w:t>C) O swelling factor é irrelevante clinicamente, pois o produto não interage com o meio tecidual.</w:t>
      </w:r>
    </w:p>
    <w:p>
      <w:pPr>
        <w:pStyle w:val="ListParagraph"/>
      </w:pPr>
      <w:r>
        <w:t>D) Todo ácido hialurônico apresenta o mesmo swelling factor, independentemente do processo de reticulação.</w:t>
      </w:r>
    </w:p>
    <w:p>
      <w:pPr>
        <w:pStyle w:val="ListParagraph"/>
      </w:pPr>
      <w:r>
        <w:t>E) O swelling factor expressa a capacidade do gel de captar água após a implantação; produtos de baixo swelling factor são preferíveis em áreas de pele fina e baixa tolerância a edema, como região infraorbitária e pálpebra.</w:t>
      </w:r>
    </w:p>
    <w:p>
      <w:r>
        <w:rPr>
          <w:b/>
          <w:color w:val="1F6F3C"/>
        </w:rPr>
        <w:t>Gabarito: E</w:t>
      </w:r>
    </w:p>
    <w:p>
      <w:r>
        <w:rPr>
          <w:b/>
          <w:i/>
        </w:rPr>
        <w:t xml:space="preserve">Explicação: </w:t>
      </w:r>
      <w:r>
        <w:rPr>
          <w:i/>
        </w:rPr>
        <w:t>O swelling factor traduz a hidrofilia do gel — sua capacidade de captar água e expandir após a implantação. Em regiões de pele fina, drenagem linfática delicada e baixa tolerância a edema, como a região infraorbitária e a pálpebra inferior, produtos de alto swelling factor causam edema persistente e resultado desarmônico. Nessas áreas o produto de escolha tem baixo G', baixa hidrofilia e boa integração tecidual.</w:t>
      </w:r>
    </w:p>
    <w:p>
      <w:r>
        <w:rPr>
          <w:b/>
        </w:rPr>
        <w:t xml:space="preserve">14) </w:t>
      </w:r>
      <w:r>
        <w:t>Sobre o tan delta dos preenchedores, assinale a alternativa correta:</w:t>
      </w:r>
    </w:p>
    <w:p>
      <w:pPr>
        <w:pStyle w:val="ListParagraph"/>
      </w:pPr>
      <w:r>
        <w:t>A) O tan delta é a razão entre o módulo viscoso (G'') e o módulo elástico (G'); valores mais altos indicam comportamento mais viscoso/fluido, com melhor adaptação a áreas de grande movimentação.</w:t>
      </w:r>
    </w:p>
    <w:p>
      <w:pPr>
        <w:pStyle w:val="ListParagraph"/>
      </w:pPr>
      <w:r>
        <w:t>B) O tan delta é a razão entre G' e G'', sendo que valores altos indicam maior rigidez do produto.</w:t>
      </w:r>
    </w:p>
    <w:p>
      <w:pPr>
        <w:pStyle w:val="ListParagraph"/>
      </w:pPr>
      <w:r>
        <w:t>C) Produtos de alto tan delta são os mais indicados para projeção de mento e ângulo mandibular.</w:t>
      </w:r>
    </w:p>
    <w:p>
      <w:pPr>
        <w:pStyle w:val="ListParagraph"/>
      </w:pPr>
      <w:r>
        <w:t>D) O tan delta não se relaciona com o comportamento dinâmico do gel na face.</w:t>
      </w:r>
    </w:p>
    <w:p>
      <w:pPr>
        <w:pStyle w:val="ListParagraph"/>
      </w:pPr>
      <w:r>
        <w:t>E) Quanto maior o tan delta, maior a capacidade do produto de resistir à deformação.</w:t>
      </w:r>
    </w:p>
    <w:p>
      <w:r>
        <w:rPr>
          <w:b/>
          <w:color w:val="1F6F3C"/>
        </w:rPr>
        <w:t>Gabarito: A</w:t>
      </w:r>
    </w:p>
    <w:p>
      <w:r>
        <w:rPr>
          <w:b/>
          <w:i/>
        </w:rPr>
        <w:t xml:space="preserve">Explicação: </w:t>
      </w:r>
      <w:r>
        <w:rPr>
          <w:i/>
        </w:rPr>
        <w:t>O tan delta é definido como G''/G', isto é, a razão entre o componente viscoso e o elástico. Valores baixos indicam comportamento predominantemente elástico (mais sólido, maior sustentação); valores altos indicam comportamento mais viscoso e fluido, com maior capacidade de adaptação ao movimento. Por isso produtos de alto tan delta são interessantes em áreas dinâmicas, e não para projeção estrutural.</w:t>
      </w:r>
    </w:p>
    <w:p>
      <w:r>
        <w:rPr>
          <w:b/>
        </w:rPr>
        <w:t xml:space="preserve">15) </w:t>
      </w:r>
      <w:r>
        <w:t>Uma paciente solicita preenchimento labial com resultado natural, preservando a mobilidade e a expressividade da boca. Assinale a alternativa mais adequada quanto à escolha do produto:</w:t>
      </w:r>
    </w:p>
    <w:p>
      <w:pPr>
        <w:pStyle w:val="ListParagraph"/>
      </w:pPr>
      <w:r>
        <w:t>A) Produto de alto G' e alta coesividade, em plano supraperiosteal, para maior durabilidade.</w:t>
      </w:r>
    </w:p>
    <w:p>
      <w:pPr>
        <w:pStyle w:val="ListParagraph"/>
      </w:pPr>
      <w:r>
        <w:t>B) Produto de altíssimo swelling factor, para potencializar o volume com menor quantidade aplicada.</w:t>
      </w:r>
    </w:p>
    <w:p>
      <w:pPr>
        <w:pStyle w:val="ListParagraph"/>
      </w:pPr>
      <w:r>
        <w:t>C) Bioestimuladores de colágeno injetáveis são a primeira escolha para volumização labial.</w:t>
      </w:r>
    </w:p>
    <w:p>
      <w:pPr>
        <w:pStyle w:val="ListParagraph"/>
      </w:pPr>
      <w:r>
        <w:t>D) Qualquer produto de preenchimento pode ser utilizado, desde que a técnica seja com cânula.</w:t>
      </w:r>
    </w:p>
    <w:p>
      <w:pPr>
        <w:pStyle w:val="ListParagraph"/>
      </w:pPr>
      <w:r>
        <w:t>E) Produto de baixo a médio G', com bom tan delta e boa integração tecidual, aplicado no plano adequado do corpo labial, priorizando naturalidade e mobilidade.</w:t>
      </w:r>
    </w:p>
    <w:p>
      <w:r>
        <w:rPr>
          <w:b/>
          <w:color w:val="1F6F3C"/>
        </w:rPr>
        <w:t>Gabarito: E</w:t>
      </w:r>
    </w:p>
    <w:p>
      <w:r>
        <w:rPr>
          <w:b/>
          <w:i/>
        </w:rPr>
        <w:t xml:space="preserve">Explicação: </w:t>
      </w:r>
      <w:r>
        <w:rPr>
          <w:i/>
        </w:rPr>
        <w:t>Os lábios são estruturas dinâmicas, de mobilidade intensa e pele/mucosa fina. O produto ideal tem G' baixo a médio, boa capacidade de adaptação ao movimento (tan delta favorável), baixo a moderado swelling factor e boa integração tecidual, evitando aspecto de bloco, nódulos e rigidez. Produtos de alto G' e alta coesividade, próprios para suporte ósseo, geram resultado rígido e artificial nessa região. Bioestimuladores não têm indicação para volumização labial.</w:t>
      </w:r>
    </w:p>
    <w:p>
      <w:r>
        <w:rPr>
          <w:b/>
        </w:rPr>
        <w:t xml:space="preserve">16) </w:t>
      </w:r>
      <w:r>
        <w:t>Sobre a hialuronidase e seu preparo, assinale a alternativa correta:</w:t>
      </w:r>
    </w:p>
    <w:p>
      <w:pPr>
        <w:pStyle w:val="ListParagraph"/>
      </w:pPr>
      <w:r>
        <w:t>A) A hialuronidase atua degradando o ácido hialurônico por hidrólise das ligações glicosídicas, sendo eficaz tanto sobre o AH endógeno quanto sobre o reticulado; em eventos isquêmicos, a conduta exige doses altas e repetidas até a resolução clínica.</w:t>
      </w:r>
    </w:p>
    <w:p>
      <w:pPr>
        <w:pStyle w:val="ListParagraph"/>
      </w:pPr>
      <w:r>
        <w:t>B) A hialuronidase atua apenas sobre o ácido hialurônico endógeno, não tendo efeito sobre produtos reticulados.</w:t>
      </w:r>
    </w:p>
    <w:p>
      <w:pPr>
        <w:pStyle w:val="ListParagraph"/>
      </w:pPr>
      <w:r>
        <w:t>C) Em complicação isquêmica, deve-se utilizar dose única e baixa, aguardando 72 horas para reavaliação.</w:t>
      </w:r>
    </w:p>
    <w:p>
      <w:pPr>
        <w:pStyle w:val="ListParagraph"/>
      </w:pPr>
      <w:r>
        <w:t>D) A hialuronidase é contraindicada em qualquer complicação vascular, pelo risco de piora da isquemia.</w:t>
      </w:r>
    </w:p>
    <w:p>
      <w:pPr>
        <w:pStyle w:val="ListParagraph"/>
      </w:pPr>
      <w:r>
        <w:t>E) O teste de sensibilidade é obrigatório e deve preceder o uso mesmo em situações de emergência isquêmica.</w:t>
      </w:r>
    </w:p>
    <w:p>
      <w:r>
        <w:rPr>
          <w:b/>
          <w:color w:val="1F6F3C"/>
        </w:rPr>
        <w:t>Gabarito: A</w:t>
      </w:r>
    </w:p>
    <w:p>
      <w:r>
        <w:rPr>
          <w:b/>
          <w:i/>
        </w:rPr>
        <w:t xml:space="preserve">Explicação: </w:t>
      </w:r>
      <w:r>
        <w:rPr>
          <w:i/>
        </w:rPr>
        <w:t>A hialuronidase é uma enzima que hidrolisa as ligações glicosídicas do ácido hialurônico, atuando também sobre géis reticulados — com eficácia variável conforme o grau de reticulação e a concentração do produto. Em evento isquêmico agudo, trata-se de emergência: a conduta é infiltração precoce, em doses altas e repetidas, em toda a área de comprometimento vascular e ao longo do trajeto arterial, com reavaliações seriadas. Em emergência, não se posterga a aplicação para realizar teste de sensibilidade.</w:t>
      </w:r>
    </w:p>
    <w:p>
      <w:pPr>
        <w:pStyle w:val="Heading1"/>
      </w:pPr>
      <w:r>
        <w:t>BLOCO IV — RACIOCÍNIO CLÍNICO E TÉCNICAS PARA O PREENCHIMENTO FULL FACE</w:t>
      </w:r>
    </w:p>
    <w:p>
      <w:r>
        <w:rPr>
          <w:b/>
        </w:rPr>
        <w:t xml:space="preserve">17) </w:t>
      </w:r>
      <w:r>
        <w:t>Sobre o preparo e a execução dos pertuitos e o manuseio da cânula no preenchimento full face, assinale a alternativa correta:</w:t>
      </w:r>
    </w:p>
    <w:p>
      <w:pPr>
        <w:pStyle w:val="ListParagraph"/>
      </w:pPr>
      <w:r>
        <w:t>A) O pertuito deve ser realizado com a mesma cânula que será utilizada, dispensando agulha prévia.</w:t>
      </w:r>
    </w:p>
    <w:p>
      <w:pPr>
        <w:pStyle w:val="ListParagraph"/>
      </w:pPr>
      <w:r>
        <w:t>B) A cânula deve ser introduzida com movimentos rápidos e firmes, para vencer a resistência tecidual.</w:t>
      </w:r>
    </w:p>
    <w:p>
      <w:pPr>
        <w:pStyle w:val="ListParagraph"/>
      </w:pPr>
      <w:r>
        <w:t>C) O número de pertuitos deve ser o maior possível, para reduzir o trajeto da cânula.</w:t>
      </w:r>
    </w:p>
    <w:p>
      <w:pPr>
        <w:pStyle w:val="ListParagraph"/>
      </w:pPr>
      <w:r>
        <w:t>D) O pertuito é confeccionado com agulha de calibre igual ou superior ao da cânula, respeitando pontos de entrada planejados; a cânula deve ser progredida no plano correto, de forma lenta e sem forçar resistências, permitindo o acesso a múltiplas áreas por um mesmo ponto.</w:t>
      </w:r>
    </w:p>
    <w:p>
      <w:pPr>
        <w:pStyle w:val="ListParagraph"/>
      </w:pPr>
      <w:r>
        <w:t>E) O uso de cânula dispensa o conhecimento anatômico, pois o instrumento é atraumático e não atinge vasos.</w:t>
      </w:r>
    </w:p>
    <w:p>
      <w:r>
        <w:rPr>
          <w:b/>
          <w:color w:val="1F6F3C"/>
        </w:rPr>
        <w:t>Gabarito: D</w:t>
      </w:r>
    </w:p>
    <w:p>
      <w:r>
        <w:rPr>
          <w:b/>
          <w:i/>
        </w:rPr>
        <w:t xml:space="preserve">Explicação: </w:t>
      </w:r>
      <w:r>
        <w:rPr>
          <w:i/>
        </w:rPr>
        <w:t>O pertuito é feito com agulha de calibre compatível (igual ou maior que o da cânula) em pontos de entrada planejados para permitir acesso a várias regiões com o mínimo de perfurações. A cânula deve progredir lentamente no plano desejado; resistência súbita indica plano incorreto ou estrutura interposta e exige reposicionamento. A cânula reduz — mas não elimina — o risco vascular, e o conhecimento anatômico permanece indispensável.</w:t>
      </w:r>
    </w:p>
    <w:p>
      <w:r>
        <w:rPr>
          <w:b/>
        </w:rPr>
        <w:t xml:space="preserve">18) </w:t>
      </w:r>
      <w:r>
        <w:t>Uma paciente de 48 anos apresenta sulco nasolabial profundo associado a perda de projeção malar e flacidez do terço médio. Assinale a alternativa mais adequada quanto ao raciocínio clínico:</w:t>
      </w:r>
    </w:p>
    <w:p>
      <w:pPr>
        <w:pStyle w:val="ListParagraph"/>
      </w:pPr>
      <w:r>
        <w:t>A) Repor primeiramente o suporte estrutural do terço médio (área malar e abertura piriforme), reavaliando o sulco após esse aporte, e realizar apenas o refinamento residual necessário.</w:t>
      </w:r>
    </w:p>
    <w:p>
      <w:pPr>
        <w:pStyle w:val="ListParagraph"/>
      </w:pPr>
      <w:r>
        <w:t>B) Preencher exclusivamente o sulco nasolabial com grande volume, por ser a queixa principal da paciente.</w:t>
      </w:r>
    </w:p>
    <w:p>
      <w:pPr>
        <w:pStyle w:val="ListParagraph"/>
      </w:pPr>
      <w:r>
        <w:t>C) Iniciar o tratamento pelo terço inferior, independentemente da queixa e do exame.</w:t>
      </w:r>
    </w:p>
    <w:p>
      <w:pPr>
        <w:pStyle w:val="ListParagraph"/>
      </w:pPr>
      <w:r>
        <w:t>D) Contraindicar o preenchimento, pois flacidez é indicação exclusiva de tratamento cirúrgico.</w:t>
      </w:r>
    </w:p>
    <w:p>
      <w:pPr>
        <w:pStyle w:val="ListParagraph"/>
      </w:pPr>
      <w:r>
        <w:t>E) Aplicar produto de baixo G' em plano superficial ao longo de todo o sulco, para maior naturalidade.</w:t>
      </w:r>
    </w:p>
    <w:p>
      <w:r>
        <w:rPr>
          <w:b/>
          <w:color w:val="1F6F3C"/>
        </w:rPr>
        <w:t>Gabarito: A</w:t>
      </w:r>
    </w:p>
    <w:p>
      <w:r>
        <w:rPr>
          <w:b/>
          <w:i/>
        </w:rPr>
        <w:t xml:space="preserve">Explicação: </w:t>
      </w:r>
      <w:r>
        <w:rPr>
          <w:i/>
        </w:rPr>
        <w:t>O sulco nasolabial é, na maioria dos casos, consequência da perda de suporte do terço médio e da descida dos compartimentos gordurosos, e não uma depressão isolada. O raciocínio clínico correto trata a causa: reposição estrutural profunda em área malar e região piriforme, reavaliação da projeção do sulco e refinamento residual apenas se necessário. Preencher o sulco diretamente com grandes volumes gera peso, aspecto artificial e agravamento a médio prazo.</w:t>
      </w:r>
    </w:p>
    <w:p>
      <w:r>
        <w:rPr>
          <w:b/>
        </w:rPr>
        <w:t xml:space="preserve">19) </w:t>
      </w:r>
      <w:r>
        <w:t>Sobre o preenchimento de mento, pré-jowl e sulco labiomentoniano, assinale a alternativa correta:</w:t>
      </w:r>
    </w:p>
    <w:p>
      <w:pPr>
        <w:pStyle w:val="ListParagraph"/>
      </w:pPr>
      <w:r>
        <w:t>A) A região deve ser tratada exclusivamente com produtos de baixo G' em plano subdérmico.</w:t>
      </w:r>
    </w:p>
    <w:p>
      <w:pPr>
        <w:pStyle w:val="ListParagraph"/>
      </w:pPr>
      <w:r>
        <w:t>B) O pré-jowl não tem relevância estética, pois não influencia o contorno mandibular.</w:t>
      </w:r>
    </w:p>
    <w:p>
      <w:pPr>
        <w:pStyle w:val="ListParagraph"/>
      </w:pPr>
      <w:r>
        <w:t>C) O mento deve ser projetado apenas no sentido vertical, sem considerar a projeção anterior.</w:t>
      </w:r>
    </w:p>
    <w:p>
      <w:pPr>
        <w:pStyle w:val="ListParagraph"/>
      </w:pPr>
      <w:r>
        <w:t>D) O planejamento deve considerar mento, pré-jowl e sulco labiomentoniano como uma unidade de contorno: produto de alto G' em plano profundo supraperiosteal no mento e no pré-jowl restabelece a linha mandibular contínua e suaviza o sulco labiomentoniano.</w:t>
      </w:r>
    </w:p>
    <w:p>
      <w:pPr>
        <w:pStyle w:val="ListParagraph"/>
      </w:pPr>
      <w:r>
        <w:t>E) O sulco labiomentoniano deve ser preenchido isoladamente com grandes volumes, por ser a estrutura determinante do terço inferior.</w:t>
      </w:r>
    </w:p>
    <w:p>
      <w:r>
        <w:rPr>
          <w:b/>
          <w:color w:val="1F6F3C"/>
        </w:rPr>
        <w:t>Gabarito: D</w:t>
      </w:r>
    </w:p>
    <w:p>
      <w:r>
        <w:rPr>
          <w:b/>
          <w:i/>
        </w:rPr>
        <w:t xml:space="preserve">Explicação: </w:t>
      </w:r>
      <w:r>
        <w:rPr>
          <w:i/>
        </w:rPr>
        <w:t>O contorno do terço inferior depende da relação entre mento, pré-jowl e linha mandibular. A depressão pré-jowl quebra a continuidade da mandíbula e acentua a jowl; a projeção adequada do mento (nos sentidos anterior e vertical, conforme a análise) e o preenchimento do pré-jowl com produto de alto G' em plano supraperiosteal restauram a linha contínua e suavizam secundariamente o sulco labiomentoniano, que raramente deve ser abordado de forma isolada e volumosa.</w:t>
      </w:r>
    </w:p>
    <w:p>
      <w:r>
        <w:rPr>
          <w:b/>
        </w:rPr>
        <w:t xml:space="preserve">20) </w:t>
      </w:r>
      <w:r>
        <w:t>Sobre a anatomia vascular dos lábios aplicada ao preenchimento labial, assinale a alternativa correta:</w:t>
      </w:r>
    </w:p>
    <w:p>
      <w:pPr>
        <w:pStyle w:val="ListParagraph"/>
      </w:pPr>
      <w:r>
        <w:t>A) As artérias labiais superior e inferior apresentam trajeto constante e sempre submucoso, o que torna o plano submucoso o mais seguro.</w:t>
      </w:r>
    </w:p>
    <w:p>
      <w:pPr>
        <w:pStyle w:val="ListParagraph"/>
      </w:pPr>
      <w:r>
        <w:t>B) O risco vascular no preenchimento labial é inexistente, dada a rica circulação colateral da região.</w:t>
      </w:r>
    </w:p>
    <w:p>
      <w:pPr>
        <w:pStyle w:val="ListParagraph"/>
      </w:pPr>
      <w:r>
        <w:t>C) A vascularização labial é exclusivamente derivada da artéria maxilar, sem contribuição da artéria facial.</w:t>
      </w:r>
    </w:p>
    <w:p>
      <w:pPr>
        <w:pStyle w:val="ListParagraph"/>
      </w:pPr>
      <w:r>
        <w:t>D) As artérias labiais são ramos da artéria facial, com trajeto variável (submucoso, intramuscular ou subcutâneo) em relação ao músculo orbicular da boca; essa variabilidade exige técnica cuidadosa, pequenos volumes, injeção lenta e baixa pressão.</w:t>
      </w:r>
    </w:p>
    <w:p>
      <w:pPr>
        <w:pStyle w:val="ListParagraph"/>
      </w:pPr>
      <w:r>
        <w:t>E) O plano de aplicação é irrelevante, desde que se utilize cânula.</w:t>
      </w:r>
    </w:p>
    <w:p>
      <w:r>
        <w:rPr>
          <w:b/>
          <w:color w:val="1F6F3C"/>
        </w:rPr>
        <w:t>Gabarito: D</w:t>
      </w:r>
    </w:p>
    <w:p>
      <w:r>
        <w:rPr>
          <w:b/>
          <w:i/>
        </w:rPr>
        <w:t xml:space="preserve">Explicação: </w:t>
      </w:r>
      <w:r>
        <w:rPr>
          <w:i/>
        </w:rPr>
        <w:t>As artérias labiais superior e inferior originam-se da artéria facial e apresentam trajeto anatomicamente variável em relação ao músculo orbicular da boca — podem correr submucosas, intramusculares ou, menos frequentemente, subcutâneas. Essa variabilidade impede que se considere qualquer plano absolutamente seguro. A prevenção baseia-se em conhecimento anatômico, injeção lenta, pequenos volumes, baixa pressão, aspiração quando com agulha e atenção a sinais precoces de comprometimento vascular.</w:t>
      </w:r>
    </w:p>
    <w:p>
      <w:r>
        <w:rPr>
          <w:b/>
        </w:rPr>
        <w:t xml:space="preserve">21) </w:t>
      </w:r>
      <w:r>
        <w:t>Sobre o raciocínio clínico e a técnica na rinomodelação, assinale a alternativa mais adequada:</w:t>
      </w:r>
    </w:p>
    <w:p>
      <w:pPr>
        <w:pStyle w:val="ListParagraph"/>
      </w:pPr>
      <w:r>
        <w:t>A) A rinomodelação pode ser realizada com grandes volumes no dorso, desde que aplicados rapidamente para reduzir o desconforto.</w:t>
      </w:r>
    </w:p>
    <w:p>
      <w:pPr>
        <w:pStyle w:val="ListParagraph"/>
      </w:pPr>
      <w:r>
        <w:t>B) A aplicação em ponta e asa nasal é preferencial por serem regiões de menor risco vascular.</w:t>
      </w:r>
    </w:p>
    <w:p>
      <w:pPr>
        <w:pStyle w:val="ListParagraph"/>
      </w:pPr>
      <w:r>
        <w:t>C) O uso prévio de vasoconstritor na região elimina o risco de embolização.</w:t>
      </w:r>
    </w:p>
    <w:p>
      <w:pPr>
        <w:pStyle w:val="ListParagraph"/>
      </w:pPr>
      <w:r>
        <w:t>D) A rinomodelação é indicada para todos os casos de deformidade nasal, inclusive para redução do volume nasal.</w:t>
      </w:r>
    </w:p>
    <w:p>
      <w:pPr>
        <w:pStyle w:val="ListParagraph"/>
      </w:pPr>
      <w:r>
        <w:t>E) A técnica segura envolve plano profundo supraperiosteal/supracondral na linha média, uso de pequenos volumes, injeção lenta e com baixa pressão, aspiração prévia, atenção a sinais de isquemia e reconhecimento de que se trata de procedimento de alto risco.</w:t>
      </w:r>
    </w:p>
    <w:p>
      <w:r>
        <w:rPr>
          <w:b/>
          <w:color w:val="1F6F3C"/>
        </w:rPr>
        <w:t>Gabarito: E</w:t>
      </w:r>
    </w:p>
    <w:p>
      <w:r>
        <w:rPr>
          <w:b/>
          <w:i/>
        </w:rPr>
        <w:t xml:space="preserve">Explicação: </w:t>
      </w:r>
      <w:r>
        <w:rPr>
          <w:i/>
        </w:rPr>
        <w:t>A rinomodelação está entre os procedimentos de maior risco de complicação isquêmica grave, incluindo necrose de dorso/ponta e amaurose, pelas anastomoses com o sistema oftálmico. A técnica segura exige plano profundo na linha média (supraperiosteal/supracondral), volumes pequenos e fracionados, injeção lenta e com baixa pressão, aspiração e vigilância contínua. É um procedimento aditivo: não reduz volume nasal, e narizes muito volumosos ou com pele muito espessa têm indicação limitada. O vasoconstritor não previne embolização — pode inclusive mascarar sinais precoces de isquemia.</w:t>
      </w:r>
    </w:p>
    <w:p>
      <w:r>
        <w:rPr>
          <w:b/>
        </w:rPr>
        <w:t xml:space="preserve">22) </w:t>
      </w:r>
      <w:r>
        <w:t>Sobre o preenchimento de têmporas, assinale a alternativa correta:</w:t>
      </w:r>
    </w:p>
    <w:p>
      <w:pPr>
        <w:pStyle w:val="ListParagraph"/>
      </w:pPr>
      <w:r>
        <w:t>A) A região temporal deve ser preenchida sempre no plano intermediário, onde corre a artéria temporal superficial, por ser o plano de maior estabilidade do produto.</w:t>
      </w:r>
    </w:p>
    <w:p>
      <w:pPr>
        <w:pStyle w:val="ListParagraph"/>
      </w:pPr>
      <w:r>
        <w:t>B) Os planos de escolha são o supraperiosteal profundo (agulha perpendicular até contato ósseo, em ponto seguro previamente demarcado) ou o subdérmico superficial com cânula; a região exige atenção às comunicações vasculares com o sistema oftálmico.</w:t>
      </w:r>
    </w:p>
    <w:p>
      <w:pPr>
        <w:pStyle w:val="ListParagraph"/>
      </w:pPr>
      <w:r>
        <w:t>C) A depressão temporal não influencia a percepção de envelhecimento facial, sendo o preenchimento apenas opcional e estético.</w:t>
      </w:r>
    </w:p>
    <w:p>
      <w:pPr>
        <w:pStyle w:val="ListParagraph"/>
      </w:pPr>
      <w:r>
        <w:t>D) Deve-se utilizar produto de baixíssimo G' e alto swelling factor para preencher grandes volumes de uma só vez.</w:t>
      </w:r>
    </w:p>
    <w:p>
      <w:pPr>
        <w:pStyle w:val="ListParagraph"/>
      </w:pPr>
      <w:r>
        <w:t>E) O preenchimento temporal é isento de risco vascular, pois se trata de área periférica da face.</w:t>
      </w:r>
    </w:p>
    <w:p>
      <w:r>
        <w:rPr>
          <w:b/>
          <w:color w:val="1F6F3C"/>
        </w:rPr>
        <w:t>Gabarito: B</w:t>
      </w:r>
    </w:p>
    <w:p>
      <w:r>
        <w:rPr>
          <w:b/>
          <w:i/>
        </w:rPr>
        <w:t xml:space="preserve">Explicação: </w:t>
      </w:r>
      <w:r>
        <w:rPr>
          <w:i/>
        </w:rPr>
        <w:t>A atrofia temporal contribui de forma importante para o aspecto envelhecido, ao estreitar o terço superior e acentuar o rebordo orbitário lateral. Os planos utilizados com segurança são o supraperiosteal profundo — com agulha perpendicular até o osso, em ponto demarcado longe do trajeto da artéria temporal superficial — ou o subdérmico superficial com cânula. O plano intermediário, onde trafega a artéria temporal superficial e há anastomoses com o sistema oftálmico, é o de maior risco.</w:t>
      </w:r>
    </w:p>
    <w:p>
      <w:r>
        <w:rPr>
          <w:b/>
        </w:rPr>
        <w:t xml:space="preserve">23) </w:t>
      </w:r>
      <w:r>
        <w:t>Sobre a documentação fotográfica e a avaliação prévia no preenchimento full face, assinale a alternativa correta:</w:t>
      </w:r>
    </w:p>
    <w:p>
      <w:pPr>
        <w:pStyle w:val="ListParagraph"/>
      </w:pPr>
      <w:r>
        <w:t>A) A documentação fotográfica é dispensável quando há termo de consentimento assinado.</w:t>
      </w:r>
    </w:p>
    <w:p>
      <w:pPr>
        <w:pStyle w:val="ListParagraph"/>
      </w:pPr>
      <w:r>
        <w:t>B) A avaliação deve ser realizada apenas em repouso, pois a análise dinâmica não influencia o planejamento do preenchimento.</w:t>
      </w:r>
    </w:p>
    <w:p>
      <w:pPr>
        <w:pStyle w:val="ListParagraph"/>
      </w:pPr>
      <w:r>
        <w:t>C) A avaliação dinâmica é útil apenas para toxina botulínica, não tendo aplicação no preenchimento.</w:t>
      </w:r>
    </w:p>
    <w:p>
      <w:pPr>
        <w:pStyle w:val="ListParagraph"/>
      </w:pPr>
      <w:r>
        <w:t>D) As fotografias devem ser realizadas apenas após o procedimento, para demonstrar o resultado.</w:t>
      </w:r>
    </w:p>
    <w:p>
      <w:pPr>
        <w:pStyle w:val="ListParagraph"/>
      </w:pPr>
      <w:r>
        <w:t>E) A documentação fotográfica padronizada (mesma distância, iluminação, ângulos e posicionamento) associada à avaliação estática e dinâmica é parte essencial do planejamento, da comunicação com o paciente e da segurança médico-legal.</w:t>
      </w:r>
    </w:p>
    <w:p>
      <w:r>
        <w:rPr>
          <w:b/>
          <w:color w:val="1F6F3C"/>
        </w:rPr>
        <w:t>Gabarito: E</w:t>
      </w:r>
    </w:p>
    <w:p>
      <w:r>
        <w:rPr>
          <w:b/>
          <w:i/>
        </w:rPr>
        <w:t xml:space="preserve">Explicação: </w:t>
      </w:r>
      <w:r>
        <w:rPr>
          <w:i/>
        </w:rPr>
        <w:t>A documentação fotográfica padronizada é ferramenta clínica, de comunicação e de proteção médico-legal. Deve ser realizada antes, durante o acompanhamento e após o procedimento, mantendo constantes distância, iluminação, fundo, ângulos e posicionamento da cabeça. A avaliação deve contemplar tanto o repouso quanto a dinâmica, pois o comportamento muscular e a movimentação influenciam a escolha do produto, do plano e do volume também no preenchimento.</w:t>
      </w:r>
    </w:p>
    <w:p>
      <w:r>
        <w:rPr>
          <w:b/>
        </w:rPr>
        <w:t xml:space="preserve">24) </w:t>
      </w:r>
      <w:r>
        <w:t>Sobre a indicação e as contraindicações do preenchimento labial, assinale a alternativa correta:</w:t>
      </w:r>
    </w:p>
    <w:p>
      <w:pPr>
        <w:pStyle w:val="ListParagraph"/>
      </w:pPr>
      <w:r>
        <w:t>A) O preenchimento está indicado em qualquer paciente que deseje aumento de volume, independentemente do exame físico.</w:t>
      </w:r>
    </w:p>
    <w:p>
      <w:pPr>
        <w:pStyle w:val="ListParagraph"/>
      </w:pPr>
      <w:r>
        <w:t>B) Herpes labial ativo, infecção local, expectativa irreal do paciente e distorções anatômicas não corrigíveis por preenchimento constituem contraindicações ou exigem adiamento; o exame físico deve avaliar proporção, projeção, altura do filtro, exposição dentária e qualidade tecidual.</w:t>
      </w:r>
    </w:p>
    <w:p>
      <w:pPr>
        <w:pStyle w:val="ListParagraph"/>
      </w:pPr>
      <w:r>
        <w:t>C) O antecedente de herpes labial de repetição contraindica definitivamente o procedimento.</w:t>
      </w:r>
    </w:p>
    <w:p>
      <w:pPr>
        <w:pStyle w:val="ListParagraph"/>
      </w:pPr>
      <w:r>
        <w:t>D) A avaliação da proporção entre lábio superior e inferior é irrelevante, pois a proporção ideal é sempre 1:1.</w:t>
      </w:r>
    </w:p>
    <w:p>
      <w:pPr>
        <w:pStyle w:val="ListParagraph"/>
      </w:pPr>
      <w:r>
        <w:t>E) Pacientes com lábio superior alongado devem receber grandes volumes no lábio superior para compensar a proporção.</w:t>
      </w:r>
    </w:p>
    <w:p>
      <w:r>
        <w:rPr>
          <w:b/>
          <w:color w:val="1F6F3C"/>
        </w:rPr>
        <w:t>Gabarito: B</w:t>
      </w:r>
    </w:p>
    <w:p>
      <w:r>
        <w:rPr>
          <w:b/>
          <w:i/>
        </w:rPr>
        <w:t xml:space="preserve">Explicação: </w:t>
      </w:r>
      <w:r>
        <w:rPr>
          <w:i/>
        </w:rPr>
        <w:t>O preenchimento labial exige avaliação criteriosa: proporção entre lábios, projeção, altura do filtro, exposição dentária, qualidade da pele e mucosa, e expectativa do paciente. São contraindicações absolutas ou relativas a infecção ativa, herpes em atividade (o antecedente de herpes recorrente não contraindica, mas indica profilaxia antiviral), doenças autoimunes descompensadas e expectativas irreais. Lábio superior alongado tratado com grande volume tende a piorar o aspecto, sendo caso de indicação técnica distinta.</w:t>
      </w:r>
    </w:p>
    <w:p>
      <w:pPr>
        <w:pStyle w:val="Heading1"/>
      </w:pPr>
      <w:r>
        <w:t>BLOCO V — INTERCORRÊNCIAS E EMERGÊNCIAS MÉDICAS</w:t>
      </w:r>
    </w:p>
    <w:p>
      <w:r>
        <w:rPr>
          <w:b/>
        </w:rPr>
        <w:t xml:space="preserve">25) </w:t>
      </w:r>
      <w:r>
        <w:t>Durante um preenchimento de sulco nasolabial, a paciente refere dor intensa e desproporcional ao procedimento, e observa-se palidez cutânea imediata com posterior aspecto reticulado violáceo na região. Assinale a alternativa mais adequada quanto à conduta:</w:t>
      </w:r>
    </w:p>
    <w:p>
      <w:pPr>
        <w:pStyle w:val="ListParagraph"/>
      </w:pPr>
      <w:r>
        <w:t>A) Trata-se de reação vasovagal esperada; deve-se apenas interromper o procedimento e observar por 24 horas.</w:t>
      </w:r>
    </w:p>
    <w:p>
      <w:pPr>
        <w:pStyle w:val="ListParagraph"/>
      </w:pPr>
      <w:r>
        <w:t>B) O quadro sugere hematoma; a conduta é compressa fria e observação ambulatorial.</w:t>
      </w:r>
    </w:p>
    <w:p>
      <w:pPr>
        <w:pStyle w:val="ListParagraph"/>
      </w:pPr>
      <w:r>
        <w:t>C) Trata-se de complicação isquêmica aguda; deve-se interromper imediatamente a aplicação e iniciar hialuronidase em altas doses na área comprometida e ao longo do trajeto arterial, com massagem, calor local e reavaliações seriadas até a resolução.</w:t>
      </w:r>
    </w:p>
    <w:p>
      <w:pPr>
        <w:pStyle w:val="ListParagraph"/>
      </w:pPr>
      <w:r>
        <w:t>D) Deve-se aguardar 48 horas para confirmar o diagnóstico antes de iniciar a hialuronidase.</w:t>
      </w:r>
    </w:p>
    <w:p>
      <w:pPr>
        <w:pStyle w:val="ListParagraph"/>
      </w:pPr>
      <w:r>
        <w:t>E) A conduta é aplicar corticoide intralesional e antibiótico, reservando a hialuronidase para casos refratários.</w:t>
      </w:r>
    </w:p>
    <w:p>
      <w:r>
        <w:rPr>
          <w:b/>
          <w:color w:val="1F6F3C"/>
        </w:rPr>
        <w:t>Gabarito: C</w:t>
      </w:r>
    </w:p>
    <w:p>
      <w:r>
        <w:rPr>
          <w:b/>
          <w:i/>
        </w:rPr>
        <w:t xml:space="preserve">Explicação: </w:t>
      </w:r>
      <w:r>
        <w:rPr>
          <w:i/>
        </w:rPr>
        <w:t>Dor desproporcional, palidez (blanqueamento) imediata e livedo reticular são sinais clássicos de comprometimento vascular arterial. Trata-se de emergência: a aplicação deve ser interrompida imediatamente e a hialuronidase infiltrada precocemente, em altas doses, em toda a área isquêmica e ao longo do trajeto da artéria acometida, com reaplicações seriadas conforme a evolução clínica. Medidas adjuvantes incluem massagem vigorosa, calor local e vasodilatação. O atraso na conduta é o principal determinante de necrose e sequela.</w:t>
      </w:r>
    </w:p>
    <w:p>
      <w:r>
        <w:rPr>
          <w:b/>
        </w:rPr>
        <w:t xml:space="preserve">26) </w:t>
      </w:r>
      <w:r>
        <w:t>Sobre a amaurose como complicação de preenchimento facial, assinale a alternativa correta:</w:t>
      </w:r>
    </w:p>
    <w:p>
      <w:pPr>
        <w:pStyle w:val="ListParagraph"/>
      </w:pPr>
      <w:r>
        <w:t>A) A amaurose é sempre reversível com hialuronidase retrobulbar, desde que aplicada em até 24 horas.</w:t>
      </w:r>
    </w:p>
    <w:p>
      <w:pPr>
        <w:pStyle w:val="ListParagraph"/>
      </w:pPr>
      <w:r>
        <w:t>B) Decorre de embolização retrógrada para a artéria oftálmica e seus ramos; costuma manifestar-se de forma imediata, com dor intensa e perda visual, tem prognóstico reservado e janela terapêutica muito curta, exigindo medidas imediatas e encaminhamento emergencial ao oftalmologista.</w:t>
      </w:r>
    </w:p>
    <w:p>
      <w:pPr>
        <w:pStyle w:val="ListParagraph"/>
      </w:pPr>
      <w:r>
        <w:t>C) A amaurose ocorre apenas em preenchimentos de região periorbitária, não sendo descrita em glabela ou nariz.</w:t>
      </w:r>
    </w:p>
    <w:p>
      <w:pPr>
        <w:pStyle w:val="ListParagraph"/>
      </w:pPr>
      <w:r>
        <w:t>D) O quadro tem instalação tardia, geralmente entre 48 e 72 horas após o procedimento.</w:t>
      </w:r>
    </w:p>
    <w:p>
      <w:pPr>
        <w:pStyle w:val="ListParagraph"/>
      </w:pPr>
      <w:r>
        <w:t>E) Não há necessidade de encaminhamento especializado, pois o manejo é integralmente ambulatorial.</w:t>
      </w:r>
    </w:p>
    <w:p>
      <w:r>
        <w:rPr>
          <w:b/>
          <w:color w:val="1F6F3C"/>
        </w:rPr>
        <w:t>Gabarito: B</w:t>
      </w:r>
    </w:p>
    <w:p>
      <w:r>
        <w:rPr>
          <w:b/>
          <w:i/>
        </w:rPr>
        <w:t xml:space="preserve">Explicação: </w:t>
      </w:r>
      <w:r>
        <w:rPr>
          <w:i/>
        </w:rPr>
        <w:t>A amaurose resulta da embolização retrógrada de produto para a artéria oftálmica através de anastomoses do sistema carotídeo externo com o interno. As áreas de maior risco são glabela, nariz, região periorbitária e sulco nasolabial. A apresentação é tipicamente imediata, com dor ocular intensa, perda visual e podendo associar-se a oftalmoplegia e sinais cutâneos. A retina tolera isquemia por período muito curto, o que confere prognóstico reservado; a conduta envolve medidas imediatas e encaminhamento emergencial ao oftalmologista. A prevenção — conhecimento anatômico, plano correto, pequenos volumes, baixa pressão — é a principal estratégia.</w:t>
      </w:r>
    </w:p>
    <w:p>
      <w:r>
        <w:rPr>
          <w:b/>
        </w:rPr>
        <w:t xml:space="preserve">27) </w:t>
      </w:r>
      <w:r>
        <w:t>Sobre as complicações agudas não isquêmicas dos preenchedores, assinale a alternativa correta:</w:t>
      </w:r>
    </w:p>
    <w:p>
      <w:pPr>
        <w:pStyle w:val="ListParagraph"/>
      </w:pPr>
      <w:r>
        <w:t>A) Edema, equimose e hematoma são complicações agudas não isquêmicas, geralmente autolimitadas; já a infecção precoce cursa com sinais flogísticos e exige antibioticoterapia, sendo essencial diferenciá-las do evento isquêmico.</w:t>
      </w:r>
    </w:p>
    <w:p>
      <w:pPr>
        <w:pStyle w:val="ListParagraph"/>
      </w:pPr>
      <w:r>
        <w:t>B) Todo edema após preenchimento deve ser tratado com hialuronidase em altas doses.</w:t>
      </w:r>
    </w:p>
    <w:p>
      <w:pPr>
        <w:pStyle w:val="ListParagraph"/>
      </w:pPr>
      <w:r>
        <w:t>C) Equimose e hematoma são sinais patognomônicos de comprometimento arterial.</w:t>
      </w:r>
    </w:p>
    <w:p>
      <w:pPr>
        <w:pStyle w:val="ListParagraph"/>
      </w:pPr>
      <w:r>
        <w:t>D) A infecção precoce deve ser tratada exclusivamente com corticoide, para reduzir a inflamação local.</w:t>
      </w:r>
    </w:p>
    <w:p>
      <w:pPr>
        <w:pStyle w:val="ListParagraph"/>
      </w:pPr>
      <w:r>
        <w:t>E) Complicações agudas não isquêmicas exigem sempre remoção cirúrgica do produto.</w:t>
      </w:r>
    </w:p>
    <w:p>
      <w:r>
        <w:rPr>
          <w:b/>
          <w:color w:val="1F6F3C"/>
        </w:rPr>
        <w:t>Gabarito: A</w:t>
      </w:r>
    </w:p>
    <w:p>
      <w:r>
        <w:rPr>
          <w:b/>
          <w:i/>
        </w:rPr>
        <w:t xml:space="preserve">Explicação: </w:t>
      </w:r>
      <w:r>
        <w:rPr>
          <w:i/>
        </w:rPr>
        <w:t>As complicações agudas não isquêmicas incluem edema, eritema, equimose, hematoma, assimetrias, irregularidades e infecção precoce. A maioria é autolimitada e responde a medidas conservadoras. A infecção precoce cursa com dor, calor, rubor, edema progressivo e eventualmente secreção, exigindo antibioticoterapia. O ponto crítico é o diagnóstico diferencial com o evento isquêmico — este cursa com dor desproporcional, palidez inicial, livedo reticular e evolução para necrose, e demanda hialuronidase imediata.</w:t>
      </w:r>
    </w:p>
    <w:p>
      <w:r>
        <w:rPr>
          <w:b/>
        </w:rPr>
        <w:t xml:space="preserve">28) </w:t>
      </w:r>
      <w:r>
        <w:t>Uma paciente retorna oito meses após preenchimento facial com nódulos endurecidos, dolorosos, com sinais inflamatórios locais e sem sinais de isquemia. Assinale a alternativa mais adequada:</w:t>
      </w:r>
    </w:p>
    <w:p>
      <w:pPr>
        <w:pStyle w:val="ListParagraph"/>
      </w:pPr>
      <w:r>
        <w:t>A) O quadro é compatível com evento isquêmico tardio; a conduta é hialuronidase em altas doses e vasodilatação.</w:t>
      </w:r>
    </w:p>
    <w:p>
      <w:pPr>
        <w:pStyle w:val="ListParagraph"/>
      </w:pPr>
      <w:r>
        <w:t>B) Trata-se de reação esperada ao produto, não havendo necessidade de intervenção.</w:t>
      </w:r>
    </w:p>
    <w:p>
      <w:pPr>
        <w:pStyle w:val="ListParagraph"/>
      </w:pPr>
      <w:r>
        <w:t>C) O quadro sugere complicação tardia não isquêmica, com possível componente inflamatório/infeccioso e formação de biofilme; a conduta inclui antibioticoterapia adequada e, conforme a evolução, hialuronidase, evitando o uso isolado e precoce de corticoide.</w:t>
      </w:r>
    </w:p>
    <w:p>
      <w:pPr>
        <w:pStyle w:val="ListParagraph"/>
      </w:pPr>
      <w:r>
        <w:t>D) A conduta imediata é a infiltração de corticoide intralesional em dose alta, como primeira e única medida.</w:t>
      </w:r>
    </w:p>
    <w:p>
      <w:pPr>
        <w:pStyle w:val="ListParagraph"/>
      </w:pPr>
      <w:r>
        <w:t>E) A remoção cirúrgica imediata dos nódulos é a conduta de escolha em todos os casos.</w:t>
      </w:r>
    </w:p>
    <w:p>
      <w:r>
        <w:rPr>
          <w:b/>
          <w:color w:val="1F6F3C"/>
        </w:rPr>
        <w:t>Gabarito: C</w:t>
      </w:r>
    </w:p>
    <w:p>
      <w:r>
        <w:rPr>
          <w:b/>
          <w:i/>
        </w:rPr>
        <w:t xml:space="preserve">Explicação: </w:t>
      </w:r>
      <w:r>
        <w:rPr>
          <w:i/>
        </w:rPr>
        <w:t>Nódulos inflamatórios tardios podem ter etiologia imunomediada ou infecciosa, frequentemente associada a biofilme. Por esse motivo, o uso isolado e precoce de corticoide é inadequado: se houver componente infeccioso, pode agravar o quadro. A abordagem inicial privilegia antibioticoterapia (comumente macrolídeos e/ou quinolonas, conforme protocolo), com uso de hialuronidase para remoção do produto quando indicado, e o corticoide reservado para casos comprovadamente inflamatórios não infecciosos e após controle do quadro.</w:t>
      </w:r>
    </w:p>
    <w:p>
      <w:r>
        <w:rPr>
          <w:b/>
        </w:rPr>
        <w:t xml:space="preserve">29) </w:t>
      </w:r>
      <w:r>
        <w:t>Sobre nódulos relacionados a bioestimuladores de colágeno injetáveis, assinale a alternativa correta:</w:t>
      </w:r>
    </w:p>
    <w:p>
      <w:pPr>
        <w:pStyle w:val="ListParagraph"/>
      </w:pPr>
      <w:r>
        <w:t>A) Nódulos por bioestimuladores respondem prontamente à hialuronidase, assim como os de ácido hialurônico.</w:t>
      </w:r>
    </w:p>
    <w:p>
      <w:pPr>
        <w:pStyle w:val="ListParagraph"/>
      </w:pPr>
      <w:r>
        <w:t>B) A prevenção depende de técnica adequada — diluição e reconstituição corretas, plano de aplicação apropriado, volumes distribuídos e massagem quando indicada; o manejo é distinto do ácido hialurônico, pois a hialuronidase não degrada esses produtos, podendo envolver medidas locais, corticoide e antibiótico conforme a natureza do nódulo.</w:t>
      </w:r>
    </w:p>
    <w:p>
      <w:pPr>
        <w:pStyle w:val="ListParagraph"/>
      </w:pPr>
      <w:r>
        <w:t>C) Nódulos por bioestimuladores são sempre infecciosos e exigem drenagem cirúrgica.</w:t>
      </w:r>
    </w:p>
    <w:p>
      <w:pPr>
        <w:pStyle w:val="ListParagraph"/>
      </w:pPr>
      <w:r>
        <w:t>D) A ocorrência de nódulos independe da técnica de aplicação e da diluição empregada.</w:t>
      </w:r>
    </w:p>
    <w:p>
      <w:pPr>
        <w:pStyle w:val="ListParagraph"/>
      </w:pPr>
      <w:r>
        <w:t>E) O uso de bioestimuladores é contraindicado na face pelo risco inevitável de nódulos.</w:t>
      </w:r>
    </w:p>
    <w:p>
      <w:r>
        <w:rPr>
          <w:b/>
          <w:color w:val="1F6F3C"/>
        </w:rPr>
        <w:t>Gabarito: B</w:t>
      </w:r>
    </w:p>
    <w:p>
      <w:r>
        <w:rPr>
          <w:b/>
          <w:i/>
        </w:rPr>
        <w:t xml:space="preserve">Explicação: </w:t>
      </w:r>
      <w:r>
        <w:rPr>
          <w:i/>
        </w:rPr>
        <w:t>Bioestimuladores como PLLA, CaHA e PCL não são degradados pela hialuronidase. A prevenção de nódulos depende diretamente da técnica: reconstituição e tempo de hidratação adequados, diluição correta, escolha do plano, distribuição homogênea do produto, evitar áreas de alta mobilidade e realizar massagem quando o protocolo do produto indicar. O manejo diferencia nódulos precoces por acúmulo de produto (massagem, diluição local) de nódulos inflamatórios tardios ou infecciosos (antibiótico, corticoide conforme o caso), sendo distinto do manejo aplicado ao ácido hialurônico.</w:t>
      </w:r>
    </w:p>
    <w:p>
      <w:r>
        <w:rPr>
          <w:b/>
        </w:rPr>
        <w:t xml:space="preserve">30) </w:t>
      </w:r>
      <w:r>
        <w:t>Sobre a conduta diante do acometimento da artéria temporal durante um procedimento, assinale a alternativa correta:</w:t>
      </w:r>
    </w:p>
    <w:p>
      <w:pPr>
        <w:pStyle w:val="ListParagraph"/>
      </w:pPr>
      <w:r>
        <w:t>A) Trata-se de situação sem repercussão clínica, dada a circulação colateral da região.</w:t>
      </w:r>
    </w:p>
    <w:p>
      <w:pPr>
        <w:pStyle w:val="ListParagraph"/>
      </w:pPr>
      <w:r>
        <w:t>B) A conduta é apenas compressão local prolongada, sem necessidade de outras medidas.</w:t>
      </w:r>
    </w:p>
    <w:p>
      <w:pPr>
        <w:pStyle w:val="ListParagraph"/>
      </w:pPr>
      <w:r>
        <w:t>C) O acometimento pode cursar com sangramento importante e/ou comprometimento vascular; a conduta envolve compressão imediata e sustentada, avaliação de sinais de isquemia no território irrigado e, havendo suspeita de embolização por preenchedor, uso de hialuronidase com reavaliações seriadas.</w:t>
      </w:r>
    </w:p>
    <w:p>
      <w:pPr>
        <w:pStyle w:val="ListParagraph"/>
      </w:pPr>
      <w:r>
        <w:t>D) Deve-se realizar imediatamente ligadura cirúrgica da artéria em ambiente ambulatorial.</w:t>
      </w:r>
    </w:p>
    <w:p>
      <w:pPr>
        <w:pStyle w:val="ListParagraph"/>
      </w:pPr>
      <w:r>
        <w:t>E) A hialuronidase é contraindicada em qualquer intercorrência da região temporal.</w:t>
      </w:r>
    </w:p>
    <w:p>
      <w:r>
        <w:rPr>
          <w:b/>
          <w:color w:val="1F6F3C"/>
        </w:rPr>
        <w:t>Gabarito: C</w:t>
      </w:r>
    </w:p>
    <w:p>
      <w:r>
        <w:rPr>
          <w:b/>
          <w:i/>
        </w:rPr>
        <w:t xml:space="preserve">Explicação: </w:t>
      </w:r>
      <w:r>
        <w:rPr>
          <w:i/>
        </w:rPr>
        <w:t>A artéria temporal superficial é superficial e calibrosa, e sua punção pode gerar sangramento significativo e hematoma volumoso. A conduta imediata é compressão firme e sustentada no local. Havendo injeção intravascular de preenchedor, o risco inclui isquemia no território irrigado e, por anastomoses, comprometimento de territórios mais nobres — situação em que se aplica hialuronidase em altas doses com reavaliação clínica seriada. O reconhecimento precoce dos sinais é determinante para o desfecho.</w:t>
      </w:r>
    </w:p>
    <w:p>
      <w:r>
        <w:rPr>
          <w:b/>
        </w:rPr>
        <w:t xml:space="preserve">31) </w:t>
      </w:r>
      <w:r>
        <w:t>Sobre o reconhecimento e o manejo da anafilaxia em consultório, assinale a alternativa correta:</w:t>
      </w:r>
    </w:p>
    <w:p>
      <w:pPr>
        <w:pStyle w:val="ListParagraph"/>
      </w:pPr>
      <w:r>
        <w:t>A) O tratamento de primeira linha é o corticoide endovenoso, seguido de anti-histamínico.</w:t>
      </w:r>
    </w:p>
    <w:p>
      <w:pPr>
        <w:pStyle w:val="ListParagraph"/>
      </w:pPr>
      <w:r>
        <w:t>B) A adrenalina deve ser administrada por via endovenosa em bolus como primeira medida em todos os casos.</w:t>
      </w:r>
    </w:p>
    <w:p>
      <w:pPr>
        <w:pStyle w:val="ListParagraph"/>
      </w:pPr>
      <w:r>
        <w:t>C) O tratamento de primeira linha é a adrenalina por via intramuscular na face anterolateral da coxa (vasto lateral), com posicionamento adequado do paciente, suporte de vias aéreas e oxigênio, acesso venoso e acionamento do serviço de emergência; corticoide e anti-histamínico são medidas adjuvantes.</w:t>
      </w:r>
    </w:p>
    <w:p>
      <w:pPr>
        <w:pStyle w:val="ListParagraph"/>
      </w:pPr>
      <w:r>
        <w:t>D) A anafilaxia exige obrigatoriamente a presença de lesões cutâneas para o diagnóstico.</w:t>
      </w:r>
    </w:p>
    <w:p>
      <w:pPr>
        <w:pStyle w:val="ListParagraph"/>
      </w:pPr>
      <w:r>
        <w:t>E) Após a resposta inicial à adrenalina, o paciente pode ser liberado imediatamente, sem período de observação.</w:t>
      </w:r>
    </w:p>
    <w:p>
      <w:r>
        <w:rPr>
          <w:b/>
          <w:color w:val="1F6F3C"/>
        </w:rPr>
        <w:t>Gabarito: C</w:t>
      </w:r>
    </w:p>
    <w:p>
      <w:r>
        <w:rPr>
          <w:b/>
          <w:i/>
        </w:rPr>
        <w:t xml:space="preserve">Explicação: </w:t>
      </w:r>
      <w:r>
        <w:rPr>
          <w:i/>
        </w:rPr>
        <w:t>A anafilaxia é diagnóstico clínico e emergencial, e pode ocorrer mesmo sem manifestações cutâneas. O tratamento de primeira linha é a adrenalina intramuscular na face anterolateral da coxa (0,3–0,5 mg em adultos, repetível a cada 5–15 minutos conforme resposta), associada a posicionamento do paciente, oxigênio, suporte ventilatório, acesso venoso e reposição volêmica. Corticoides e anti-histamínicos são adjuvantes e não substituem a adrenalina. Pelo risco de reação bifásica, é obrigatório período de observação e encaminhamento a serviço de emergência.</w:t>
      </w:r>
    </w:p>
    <w:p>
      <w:pPr>
        <w:pStyle w:val="Heading1"/>
      </w:pPr>
      <w:r>
        <w:t>BLOCO VI — FIOS DE COLÁGENO</w:t>
      </w:r>
    </w:p>
    <w:p>
      <w:r>
        <w:rPr>
          <w:b/>
        </w:rPr>
        <w:t xml:space="preserve">32) </w:t>
      </w:r>
      <w:r>
        <w:t>Sobre a estrutura química e a degradação da polidioxanona (PDO), assinale a alternativa correta:</w:t>
      </w:r>
    </w:p>
    <w:p>
      <w:pPr>
        <w:pStyle w:val="ListParagraph"/>
      </w:pPr>
      <w:r>
        <w:t>A) A PDO é um polímero não absorvível, o que garante a permanência do efeito de tração.</w:t>
      </w:r>
    </w:p>
    <w:p>
      <w:pPr>
        <w:pStyle w:val="ListParagraph"/>
      </w:pPr>
      <w:r>
        <w:t>B) A PDO é um polímero absorvível degradado por hidrólise de suas ligações éster, com absorção completa em torno de 6 a 8 meses; o estímulo inflamatório controlado desencadeia neocolagênese, cujo efeito clínico persiste além da absorção física do fio.</w:t>
      </w:r>
    </w:p>
    <w:p>
      <w:pPr>
        <w:pStyle w:val="ListParagraph"/>
      </w:pPr>
      <w:r>
        <w:t>C) A degradação da PDO ocorre por ação enzimática específica, sendo acelerada pela hialuronidase.</w:t>
      </w:r>
    </w:p>
    <w:p>
      <w:pPr>
        <w:pStyle w:val="ListParagraph"/>
      </w:pPr>
      <w:r>
        <w:t>D) A absorção completa da PDO ocorre em aproximadamente 30 dias, o que limita sua indicação clínica.</w:t>
      </w:r>
    </w:p>
    <w:p>
      <w:pPr>
        <w:pStyle w:val="ListParagraph"/>
      </w:pPr>
      <w:r>
        <w:t>E) A PDO não gera resposta tecidual, atuando apenas por efeito mecânico de sustentação.</w:t>
      </w:r>
    </w:p>
    <w:p>
      <w:r>
        <w:rPr>
          <w:b/>
          <w:color w:val="1F6F3C"/>
        </w:rPr>
        <w:t>Gabarito: B</w:t>
      </w:r>
    </w:p>
    <w:p>
      <w:r>
        <w:rPr>
          <w:b/>
          <w:i/>
        </w:rPr>
        <w:t xml:space="preserve">Explicação: </w:t>
      </w:r>
      <w:r>
        <w:rPr>
          <w:i/>
        </w:rPr>
        <w:t>A polidioxanona é um polímero sintético absorvível, degradado por hidrólise das ligações éster da cadeia, com absorção completa em torno de 6 a 8 meses. Sua permanência gera resposta inflamatória controlada, com recrutamento de fibroblastos, angiogênese e deposição de matriz extracelular. O resultado clínico deriva da combinação entre o efeito mecânico inicial (mais relevante nos fios de tração) e a neocolagênese, que sustenta o resultado por período superior ao da presença física do fio.</w:t>
      </w:r>
    </w:p>
    <w:p>
      <w:r>
        <w:rPr>
          <w:b/>
        </w:rPr>
        <w:t xml:space="preserve">33) </w:t>
      </w:r>
      <w:r>
        <w:t>Sobre a cronologia histológica da resposta tecidual aos fios de PDO, assinale a alternativa correta:</w:t>
      </w:r>
    </w:p>
    <w:p>
      <w:pPr>
        <w:pStyle w:val="ListParagraph"/>
      </w:pPr>
      <w:r>
        <w:t>A) O pico de neocolagênese ocorre nas primeiras 48 horas, decaindo progressivamente a partir daí.</w:t>
      </w:r>
    </w:p>
    <w:p>
      <w:pPr>
        <w:pStyle w:val="ListParagraph"/>
      </w:pPr>
      <w:r>
        <w:t>B) Não há alteração histológica detectável antes de 12 meses da aplicação.</w:t>
      </w:r>
    </w:p>
    <w:p>
      <w:pPr>
        <w:pStyle w:val="ListParagraph"/>
      </w:pPr>
      <w:r>
        <w:t>C) Nos primeiros meses predomina a resposta inflamatória com colágeno tipo III, que é progressivamente substituído por colágeno tipo I, mais organizado e resistente, com maturação da matriz ao longo dos meses subsequentes e resultado clínico que se prolonga além da absorção do fio.</w:t>
      </w:r>
    </w:p>
    <w:p>
      <w:pPr>
        <w:pStyle w:val="ListParagraph"/>
      </w:pPr>
      <w:r>
        <w:t>D) O colágeno tipo I é depositado imediatamente após a inserção do fio, sem fase inflamatória prévia.</w:t>
      </w:r>
    </w:p>
    <w:p>
      <w:pPr>
        <w:pStyle w:val="ListParagraph"/>
      </w:pPr>
      <w:r>
        <w:t>E) A resposta histológica é idêntica para fios lisos e fios de tração, tanto em intensidade quanto em cronologia.</w:t>
      </w:r>
    </w:p>
    <w:p>
      <w:r>
        <w:rPr>
          <w:b/>
          <w:color w:val="1F6F3C"/>
        </w:rPr>
        <w:t>Gabarito: C</w:t>
      </w:r>
    </w:p>
    <w:p>
      <w:r>
        <w:rPr>
          <w:b/>
          <w:i/>
        </w:rPr>
        <w:t xml:space="preserve">Explicação: </w:t>
      </w:r>
      <w:r>
        <w:rPr>
          <w:i/>
        </w:rPr>
        <w:t>A resposta segue o padrão clássico de reparo tecidual: fase inflamatória inicial, seguida de fase proliferativa com deposição de colágeno tipo III — mais frouxo e desorganizado — e posterior fase de remodelação, com substituição progressiva por colágeno tipo I, mais espesso, organizado e resistente. Essa maturação ocorre ao longo dos meses, o que explica a melhora progressiva da qualidade e da sustentação da pele mesmo após a absorção completa do material.</w:t>
      </w:r>
    </w:p>
    <w:p>
      <w:r>
        <w:rPr>
          <w:b/>
        </w:rPr>
        <w:t xml:space="preserve">34) </w:t>
      </w:r>
      <w:r>
        <w:t>Uma paciente de 50 anos apresenta flacidez moderada do terço médio com ptose de bola de Bichat e sulco nasogeniano acentuado, além de pele com perda de firmeza difusa. Sobre a indicação dos fios, assinale a alternativa mais adequada:</w:t>
      </w:r>
    </w:p>
    <w:p>
      <w:pPr>
        <w:pStyle w:val="ListParagraph"/>
      </w:pPr>
      <w:r>
        <w:t>A) Fios lisos isolados são a melhor indicação, pois promovem tração vetorial e reposicionamento tecidual.</w:t>
      </w:r>
    </w:p>
    <w:p>
      <w:pPr>
        <w:pStyle w:val="ListParagraph"/>
      </w:pPr>
      <w:r>
        <w:t>B) O fio de tração está indicado quando há necessidade de reposicionamento tecidual com vetor definido, enquanto o fio liso atua predominantemente na bioestimulação e melhora da qualidade da pele; os dois podem ser combinados conforme o diagnóstico.</w:t>
      </w:r>
    </w:p>
    <w:p>
      <w:pPr>
        <w:pStyle w:val="ListParagraph"/>
      </w:pPr>
      <w:r>
        <w:t>C) Fios de tração são indicados apenas para pacientes com flacidez grave e excesso cutâneo importante.</w:t>
      </w:r>
    </w:p>
    <w:p>
      <w:pPr>
        <w:pStyle w:val="ListParagraph"/>
      </w:pPr>
      <w:r>
        <w:t>D) A indicação de fios independe do grau de flacidez e da qualidade da pele.</w:t>
      </w:r>
    </w:p>
    <w:p>
      <w:pPr>
        <w:pStyle w:val="ListParagraph"/>
      </w:pPr>
      <w:r>
        <w:t>E) Fios de tração e fios lisos têm exatamente a mesma indicação e o mesmo mecanismo de ação.</w:t>
      </w:r>
    </w:p>
    <w:p>
      <w:r>
        <w:rPr>
          <w:b/>
          <w:color w:val="1F6F3C"/>
        </w:rPr>
        <w:t>Gabarito: B</w:t>
      </w:r>
    </w:p>
    <w:p>
      <w:r>
        <w:rPr>
          <w:b/>
          <w:i/>
        </w:rPr>
        <w:t xml:space="preserve">Explicação: </w:t>
      </w:r>
      <w:r>
        <w:rPr>
          <w:i/>
        </w:rPr>
        <w:t>São ferramentas com propósitos distintos. O fio de tração (espiculado, com garras/cones) promove reposicionamento tecidual segundo vetores planejados, sendo indicado em ptose e flacidez moderada com tecido passível de tração. O fio liso atua essencialmente por bioestimulação, melhorando firmeza, textura e qualidade da pele, sem tração significativa. O diagnóstico correto define a escolha, e a associação das duas modalidades é frequente. Flacidez grave com excesso cutâneo importante é indicação cirúrgica, não de fios.</w:t>
      </w:r>
    </w:p>
    <w:p>
      <w:r>
        <w:rPr>
          <w:b/>
        </w:rPr>
        <w:t xml:space="preserve">35) </w:t>
      </w:r>
      <w:r>
        <w:t>Sobre o planejamento e a execução de fios de tração para lifting do terço médio, assinale a alternativa correta:</w:t>
      </w:r>
    </w:p>
    <w:p>
      <w:pPr>
        <w:pStyle w:val="ListParagraph"/>
      </w:pPr>
      <w:r>
        <w:t>A) Os vetores devem ser sempre horizontais, independentemente da anatomia e do padrão de ptose.</w:t>
      </w:r>
    </w:p>
    <w:p>
      <w:pPr>
        <w:pStyle w:val="ListParagraph"/>
      </w:pPr>
      <w:r>
        <w:t>B) A ativação das garras é dispensável, pois a tração ocorre passivamente pela simples inserção do fio.</w:t>
      </w:r>
    </w:p>
    <w:p>
      <w:pPr>
        <w:pStyle w:val="ListParagraph"/>
      </w:pPr>
      <w:r>
        <w:t>C) O planejamento define pontos de entrada, vetores e plano de inserção (subcutâneo adequado); após o posicionamento, realiza-se a ativação das garras com tração controlada e checagem de simetria, corrigindo pregueamento e irregularidades ainda no intraoperatório.</w:t>
      </w:r>
    </w:p>
    <w:p>
      <w:pPr>
        <w:pStyle w:val="ListParagraph"/>
      </w:pPr>
      <w:r>
        <w:t>D) O fio deve ser inserido no plano intradérmico, para garantir maior fixação.</w:t>
      </w:r>
    </w:p>
    <w:p>
      <w:pPr>
        <w:pStyle w:val="ListParagraph"/>
      </w:pPr>
      <w:r>
        <w:t>E) A simetria deve ser avaliada apenas no retorno de 30 dias, não sendo possível qualquer ajuste durante o procedimento.</w:t>
      </w:r>
    </w:p>
    <w:p>
      <w:r>
        <w:rPr>
          <w:b/>
          <w:color w:val="1F6F3C"/>
        </w:rPr>
        <w:t>Gabarito: C</w:t>
      </w:r>
    </w:p>
    <w:p>
      <w:r>
        <w:rPr>
          <w:b/>
          <w:i/>
        </w:rPr>
        <w:t xml:space="preserve">Explicação: </w:t>
      </w:r>
      <w:r>
        <w:rPr>
          <w:i/>
        </w:rPr>
        <w:t>O resultado depende do planejamento prévio: marcação dos pontos de entrada e de ancoragem, definição dos vetores conforme o padrão de ptose e escolha do plano subcutâneo adequado. Após o posicionamento do fio, a ativação das garras com tração controlada é etapa determinante, seguida da checagem imediata de simetria e da correção de pregueamentos e irregularidades ainda no intraoperatório. Inserção intradérmica gera irregularidade, dimpling e risco de extrusão.</w:t>
      </w:r>
    </w:p>
    <w:p>
      <w:r>
        <w:rPr>
          <w:b/>
        </w:rPr>
        <w:t xml:space="preserve">36) </w:t>
      </w:r>
      <w:r>
        <w:t>Sobre as complicações relacionadas aos fios e seu manejo, assinale a alternativa correta:</w:t>
      </w:r>
    </w:p>
    <w:p>
      <w:pPr>
        <w:pStyle w:val="ListParagraph"/>
      </w:pPr>
      <w:r>
        <w:t>A) Dimpling, pregueamento, assimetria, extrusão e desconforto à mímica são complicações possíveis; a maioria decorre de plano inadequado, vetor mal planejado ou tração excessiva, e o manejo varia de massagem e observação a liberação de pontos de aderência ou remoção do fio.</w:t>
      </w:r>
    </w:p>
    <w:p>
      <w:pPr>
        <w:pStyle w:val="ListParagraph"/>
      </w:pPr>
      <w:r>
        <w:t>B) A extrusão do fio é evento sem relevância clínica, dispensando qualquer conduta.</w:t>
      </w:r>
    </w:p>
    <w:p>
      <w:pPr>
        <w:pStyle w:val="ListParagraph"/>
      </w:pPr>
      <w:r>
        <w:t>C) Complicações com fios são sempre definitivas, não havendo possibilidade de correção.</w:t>
      </w:r>
    </w:p>
    <w:p>
      <w:pPr>
        <w:pStyle w:val="ListParagraph"/>
      </w:pPr>
      <w:r>
        <w:t>D) O dimpling indica necessariamente infecção do trajeto e exige antibioticoterapia endovenosa.</w:t>
      </w:r>
    </w:p>
    <w:p>
      <w:pPr>
        <w:pStyle w:val="ListParagraph"/>
      </w:pPr>
      <w:r>
        <w:t>E) A ocorrência de assimetria só pode ser corrigida por procedimento cirúrgico aberto.</w:t>
      </w:r>
    </w:p>
    <w:p>
      <w:r>
        <w:rPr>
          <w:b/>
          <w:color w:val="1F6F3C"/>
        </w:rPr>
        <w:t>Gabarito: A</w:t>
      </w:r>
    </w:p>
    <w:p>
      <w:r>
        <w:rPr>
          <w:b/>
          <w:i/>
        </w:rPr>
        <w:t xml:space="preserve">Explicação: </w:t>
      </w:r>
      <w:r>
        <w:rPr>
          <w:i/>
        </w:rPr>
        <w:t>As complicações mais frequentes são dimpling, pregueamento cutâneo, assimetrias, dor ou desconforto à mímica, palpação do fio, extrusão e, menos comumente, infecção. A maior parte relaciona-se a plano de inserção superficial demais, vetor mal planejado ou tração excessiva. O manejo é escalonado: massagem, observação e orientação nos casos leves; liberação de aderências ou de pontos de fixação nos casos persistentes; e remoção do fio nas extrusões e nos casos refratários. Sinais infecciosos exigem antibioticoterapia e reavaliação.</w:t>
      </w:r>
    </w:p>
    <w:p>
      <w:pPr>
        <w:pStyle w:val="Heading1"/>
      </w:pPr>
      <w:r>
        <w:t>BLOCO VII — BIOESTIMULADORES E INTRADERMOTERAPIA</w:t>
      </w:r>
    </w:p>
    <w:p>
      <w:r>
        <w:rPr>
          <w:b/>
        </w:rPr>
        <w:t xml:space="preserve">37) </w:t>
      </w:r>
      <w:r>
        <w:t>Sobre os bioestimuladores de colágeno injetáveis, assinale a alternativa correta:</w:t>
      </w:r>
    </w:p>
    <w:p>
      <w:pPr>
        <w:pStyle w:val="ListParagraph"/>
      </w:pPr>
      <w:r>
        <w:t>A) Todos os bioestimuladores têm mecanismo idêntico e podem ser reconstituídos e aplicados da mesma forma.</w:t>
      </w:r>
    </w:p>
    <w:p>
      <w:pPr>
        <w:pStyle w:val="ListParagraph"/>
      </w:pPr>
      <w:r>
        <w:t>B) O ácido poli-L-lático (PLLA), a hidroxiapatita de cálcio (CaHA) e a policaprolactona (PCL) atuam por estímulo à neocolagênese mediado por resposta inflamatória controlada, mas diferem em reconstituição, tempo de hidratação, plano de aplicação, imediatismo do efeito volumétrico e duração.</w:t>
      </w:r>
    </w:p>
    <w:p>
      <w:pPr>
        <w:pStyle w:val="ListParagraph"/>
      </w:pPr>
      <w:r>
        <w:t>C) A hidroxiapatita de cálcio não apresenta qualquer efeito volumétrico imediato.</w:t>
      </w:r>
    </w:p>
    <w:p>
      <w:pPr>
        <w:pStyle w:val="ListParagraph"/>
      </w:pPr>
      <w:r>
        <w:t>D) O ácido poli-L-lático produz resultado volumétrico imediato e definitivo já na primeira sessão.</w:t>
      </w:r>
    </w:p>
    <w:p>
      <w:pPr>
        <w:pStyle w:val="ListParagraph"/>
      </w:pPr>
      <w:r>
        <w:t>E) Bioestimuladores são degradáveis por hialuronidase, o que facilita a reversão de resultados indesejados.</w:t>
      </w:r>
    </w:p>
    <w:p>
      <w:r>
        <w:rPr>
          <w:b/>
          <w:color w:val="1F6F3C"/>
        </w:rPr>
        <w:t>Gabarito: B</w:t>
      </w:r>
    </w:p>
    <w:p>
      <w:r>
        <w:rPr>
          <w:b/>
          <w:i/>
        </w:rPr>
        <w:t xml:space="preserve">Explicação: </w:t>
      </w:r>
      <w:r>
        <w:rPr>
          <w:i/>
        </w:rPr>
        <w:t>Os três principais bioestimuladores compartilham o princípio de induzir neocolagênese por resposta inflamatória controlada, mas têm comportamentos distintos. O PLLA exige reconstituição e tempo de hidratação adequados, tem efeito volumétrico inicial transitório (pelo diluente) e resultado progressivo em sessões seriadas. A CaHA tem efeito volumétrico imediato somado ao bioestímulo e pode ser diluída conforme o objetivo. A PCL associa efeito imediato do veículo com estímulo prolongado. Nenhum deles é degradado por hialuronidase.</w:t>
      </w:r>
    </w:p>
    <w:p>
      <w:r>
        <w:rPr>
          <w:b/>
        </w:rPr>
        <w:t xml:space="preserve">38) </w:t>
      </w:r>
      <w:r>
        <w:t>Sobre o uso de bioestimuladores líquidos (hiperdiluídos) de colágeno, assinale a alternativa correta:</w:t>
      </w:r>
    </w:p>
    <w:p>
      <w:pPr>
        <w:pStyle w:val="ListParagraph"/>
      </w:pPr>
      <w:r>
        <w:t>A) A hiperdiluição transforma o bioestimulador em preenchedor estrutural, sendo indicada para projeção óssea.</w:t>
      </w:r>
    </w:p>
    <w:p>
      <w:pPr>
        <w:pStyle w:val="ListParagraph"/>
      </w:pPr>
      <w:r>
        <w:t>B) A hiperdiluição não altera o comportamento do produto no tecido, servindo apenas para reduzir custo por sessão.</w:t>
      </w:r>
    </w:p>
    <w:p>
      <w:pPr>
        <w:pStyle w:val="ListParagraph"/>
      </w:pPr>
      <w:r>
        <w:t>C) A hiperdiluição amplia a distribuição do produto e favorece o bioestímulo difuso com menor efeito volumétrico, sendo útil para melhora da qualidade da pele e de áreas extensas, exigindo plano de aplicação e técnica adequados para reduzir risco de nódulos.</w:t>
      </w:r>
    </w:p>
    <w:p>
      <w:pPr>
        <w:pStyle w:val="ListParagraph"/>
      </w:pPr>
      <w:r>
        <w:t>D) O bioestimulador hiperdiluído deve ser aplicado no plano supraperiosteal profundo em todos os casos.</w:t>
      </w:r>
    </w:p>
    <w:p>
      <w:pPr>
        <w:pStyle w:val="ListParagraph"/>
      </w:pPr>
      <w:r>
        <w:t>E) A hiperdiluição elimina o risco de nódulos, dispensando cuidados técnicos.</w:t>
      </w:r>
    </w:p>
    <w:p>
      <w:r>
        <w:rPr>
          <w:b/>
          <w:color w:val="1F6F3C"/>
        </w:rPr>
        <w:t>Gabarito: C</w:t>
      </w:r>
    </w:p>
    <w:p>
      <w:r>
        <w:rPr>
          <w:b/>
          <w:i/>
        </w:rPr>
        <w:t xml:space="preserve">Explicação: </w:t>
      </w:r>
      <w:r>
        <w:rPr>
          <w:i/>
        </w:rPr>
        <w:t>A hiperdiluição aumenta o volume do veículo em relação à quantidade de partículas, permitindo distribuição mais ampla e homogênea do estímulo com menor efeito volumétrico. É estratégia útil para melhora global da qualidade da pele e para tratar áreas extensas — face, pescoço, colo, braços e abdome. O raciocínio é de bioestímulo difuso, e não de projeção estrutural. A técnica, o plano e a distribuição homogênea permanecem determinantes para reduzir o risco de nódulos.</w:t>
      </w:r>
    </w:p>
    <w:p>
      <w:r>
        <w:rPr>
          <w:b/>
        </w:rPr>
        <w:t xml:space="preserve">39) </w:t>
      </w:r>
      <w:r>
        <w:t>Sobre a intradermoterapia e seus fundamentos, assinale a alternativa correta:</w:t>
      </w:r>
    </w:p>
    <w:p>
      <w:pPr>
        <w:pStyle w:val="ListParagraph"/>
      </w:pPr>
      <w:r>
        <w:t>A) A intradermoterapia atua exclusivamente por efeito volumétrico, sem estímulo à renovação tecidual.</w:t>
      </w:r>
    </w:p>
    <w:p>
      <w:pPr>
        <w:pStyle w:val="ListParagraph"/>
      </w:pPr>
      <w:r>
        <w:t>B) O fototipo do paciente é irrelevante no planejamento, pois o risco de hiperpigmentação pós-inflamatória é inexistente.</w:t>
      </w:r>
    </w:p>
    <w:p>
      <w:pPr>
        <w:pStyle w:val="ListParagraph"/>
      </w:pPr>
      <w:r>
        <w:t>C) A técnica consiste na aplicação de ativos no plano intradérmico, promovendo estímulo tecidual e ação farmacológica local; o planejamento deve considerar histologia, fase de cicatrização, fototipo e risco de hiperpigmentação pós-inflamatória, sobretudo em fototipos altos.</w:t>
      </w:r>
    </w:p>
    <w:p>
      <w:pPr>
        <w:pStyle w:val="ListParagraph"/>
      </w:pPr>
      <w:r>
        <w:t>D) A intradermoterapia é contraindicada em qualquer paciente com fototipo acima de III.</w:t>
      </w:r>
    </w:p>
    <w:p>
      <w:pPr>
        <w:pStyle w:val="ListParagraph"/>
      </w:pPr>
      <w:r>
        <w:t>E) A profundidade de aplicação não influencia o resultado nem o risco de complicações.</w:t>
      </w:r>
    </w:p>
    <w:p>
      <w:r>
        <w:rPr>
          <w:b/>
          <w:color w:val="1F6F3C"/>
        </w:rPr>
        <w:t>Gabarito: C</w:t>
      </w:r>
    </w:p>
    <w:p>
      <w:r>
        <w:rPr>
          <w:b/>
          <w:i/>
        </w:rPr>
        <w:t xml:space="preserve">Explicação: </w:t>
      </w:r>
      <w:r>
        <w:rPr>
          <w:i/>
        </w:rPr>
        <w:t>A intradermoterapia baseia-se na entrega de ativos diretamente na derme, associando estímulo mecânico e ação farmacológica local, com indicações que vão da biorevitalização ao tratamento de cicatrizes e discromias. O planejamento exige compreensão da histologia cutânea, das fases da cicatrização e do fototipo do paciente: fototipos mais altos apresentam maior risco de hiperpigmentação pós-inflamatória, o que exige ajuste de profundidade, intensidade, intervalo entre sessões e preparo/manutenção domiciliar — mas não constitui contraindicação absoluta.</w:t>
      </w:r>
    </w:p>
    <w:p>
      <w:r>
        <w:rPr>
          <w:b/>
        </w:rPr>
        <w:t xml:space="preserve">40) </w:t>
      </w:r>
      <w:r>
        <w:t>Uma paciente de 45 anos apresenta rugas estáticas profundas em fronte, que persistem mesmo após tratamento prévio adequado com toxina botulínica. Assinale a alternativa mais adequada:</w:t>
      </w:r>
    </w:p>
    <w:p>
      <w:pPr>
        <w:pStyle w:val="ListParagraph"/>
      </w:pPr>
      <w:r>
        <w:t>A) A conduta correta é aumentar progressivamente as doses de toxina botulínica até a resolução completa das rugas estáticas.</w:t>
      </w:r>
    </w:p>
    <w:p>
      <w:pPr>
        <w:pStyle w:val="ListParagraph"/>
      </w:pPr>
      <w:r>
        <w:t>B) Rugas estáticas não respondem isoladamente à toxina, pois refletem dano dérmico estabelecido; técnicas como o line lifting — preenchimento superficial da ruga com produto adequado — atuam de forma complementar, sendo relevantes o planejamento e o conforto anestésico da região.</w:t>
      </w:r>
    </w:p>
    <w:p>
      <w:pPr>
        <w:pStyle w:val="ListParagraph"/>
      </w:pPr>
      <w:r>
        <w:t>C) Rugas estáticas em fronte são contraindicação absoluta a qualquer procedimento injetável.</w:t>
      </w:r>
    </w:p>
    <w:p>
      <w:pPr>
        <w:pStyle w:val="ListParagraph"/>
      </w:pPr>
      <w:r>
        <w:t>D) O tratamento de escolha é o preenchimento profundo supraperiosteal da fronte com produto de alto G'.</w:t>
      </w:r>
    </w:p>
    <w:p>
      <w:pPr>
        <w:pStyle w:val="ListParagraph"/>
      </w:pPr>
      <w:r>
        <w:t>E) A associação entre toxina botulínica e técnicas de preenchimento superficial deve ser evitada, pelo risco de antagonismo entre os procedimentos.</w:t>
      </w:r>
    </w:p>
    <w:p>
      <w:r>
        <w:rPr>
          <w:b/>
          <w:color w:val="1F6F3C"/>
        </w:rPr>
        <w:t>Gabarito: B</w:t>
      </w:r>
    </w:p>
    <w:p>
      <w:r>
        <w:rPr>
          <w:b/>
          <w:i/>
        </w:rPr>
        <w:t xml:space="preserve">Explicação: </w:t>
      </w:r>
      <w:r>
        <w:rPr>
          <w:i/>
        </w:rPr>
        <w:t>A toxina botulínica atua sobre a componente dinâmica da ruga, reduzindo a contração muscular que a origina e a mantém. Rugas estáticas já representam dano dérmico estruturado, com perda de colágeno e sulco estabelecido, e por isso não se resolvem apenas com aumento de dose — estratégia que, além de ineficaz para esse componente, aumenta o risco de ptose e aspecto pesado. O line lifting propõe o tratamento superficial da própria ruga com produto adequado, associado ao controle da dinâmica com toxina, e o planejamento inclui o conforto anestésico da fronte.</w:t>
      </w:r>
    </w:p>
    <w:p>
      <w:r>
        <w:br w:type="page"/>
      </w:r>
    </w:p>
    <w:p>
      <w:pPr>
        <w:pStyle w:val="Heading1"/>
      </w:pPr>
      <w:r>
        <w:t>GABARITO CONSOLIDADO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Questão</w:t>
            </w:r>
          </w:p>
        </w:tc>
        <w:tc>
          <w:tcPr>
            <w:tcW w:type="dxa" w:w="1080"/>
          </w:tcPr>
          <w:p>
            <w:r>
              <w:t>Resp.</w:t>
            </w:r>
          </w:p>
        </w:tc>
        <w:tc>
          <w:tcPr>
            <w:tcW w:type="dxa" w:w="1080"/>
          </w:tcPr>
          <w:p>
            <w:r>
              <w:t>Questão</w:t>
            </w:r>
          </w:p>
        </w:tc>
        <w:tc>
          <w:tcPr>
            <w:tcW w:type="dxa" w:w="1080"/>
          </w:tcPr>
          <w:p>
            <w:r>
              <w:t>Resp.</w:t>
            </w:r>
          </w:p>
        </w:tc>
        <w:tc>
          <w:tcPr>
            <w:tcW w:type="dxa" w:w="1080"/>
          </w:tcPr>
          <w:p>
            <w:r>
              <w:t>Questão</w:t>
            </w:r>
          </w:p>
        </w:tc>
        <w:tc>
          <w:tcPr>
            <w:tcW w:type="dxa" w:w="1080"/>
          </w:tcPr>
          <w:p>
            <w:r>
              <w:t>Resp.</w:t>
            </w:r>
          </w:p>
        </w:tc>
        <w:tc>
          <w:tcPr>
            <w:tcW w:type="dxa" w:w="1080"/>
          </w:tcPr>
          <w:p>
            <w:r>
              <w:t>Questão</w:t>
            </w:r>
          </w:p>
        </w:tc>
        <w:tc>
          <w:tcPr>
            <w:tcW w:type="dxa" w:w="1080"/>
          </w:tcPr>
          <w:p>
            <w:r>
              <w:t>Resp.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A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E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B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C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A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D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